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46DF" w14:textId="77777777" w:rsidR="001B097C" w:rsidRDefault="001B097C">
      <w:r>
        <w:t>淨土大經解演義節要</w:t>
      </w:r>
      <w:r>
        <w:t>—</w:t>
      </w:r>
      <w:r>
        <w:t>一個人生了煩惱，愈想愈生氣，這叫迷得太深　　（第一四六四集）　　檔名：</w:t>
      </w:r>
      <w:r>
        <w:t xml:space="preserve">29-519-1464 </w:t>
      </w:r>
    </w:p>
    <w:p w14:paraId="4F29DD42" w14:textId="77777777" w:rsidR="001B097C" w:rsidRDefault="001B097C">
      <w:pPr>
        <w:pStyle w:val="a3"/>
      </w:pPr>
      <w:r>
        <w:t xml:space="preserve">　　我們今天迷了，所以叫迷失自性，不知道性在哪裡，性就在相裡頭。所以明心見性的人，老和尚問他：在哪裡？什麼樣子？隨便拈一個比劃一下，一切是，哪一樣不是！老和尚點頭就給他印證，這個人明心見性了，他真見性了。真見性之後人不一樣了，為什麼？在一切法裡頭，六根接觸六塵境界不起心、不動念。如果還起心動念，沒見到，為什麼？他著相，著相才生煩惱，著相才有分別執著。見性的人不可能有分別執著，不但沒有分別執著，剛才講了，根本就不起心、不動念，他心是定的，真正是淨定，他的形態是安樂，你能夠看到他的淨定安樂，見性才有。迷失了自性，決定沒有，迷失自性，迷失得太過分，現代人，叫心浮氣躁，一個人坐在那裡都生煩惱，那有什麼法子？一個人坐在那裡他生什麼煩惱？他打妄想。愈想愈生氣，愈想愈過不去，他自生煩惱，這叫迷得太深。用什麼樣的方法幫他破迷？佛菩薩慈悲，講經說法。所以迷得重的人，最好的方法天天聽經，聽上個三年、五載，他自自然然煩惱輕、智慧長，聽個十年、八年，他得三昧了。不必聽各種不同的經，那個效果不大，為什麼？每部經裡頭講的意思不一樣。</w:t>
      </w:r>
      <w:r>
        <w:t xml:space="preserve"> </w:t>
      </w:r>
    </w:p>
    <w:p w14:paraId="141A1DBF" w14:textId="77777777" w:rsidR="001B097C" w:rsidRDefault="001B097C">
      <w:pPr>
        <w:pStyle w:val="a3"/>
      </w:pPr>
      <w:r>
        <w:t xml:space="preserve">　　要聽就聽一部，像劉素雲居士十年就聽一部《無量壽經》，她得定，她開悟了。任何一個人十年把功夫用在一部經上，沒有不開悟的。開悟好，開悟往生生實報土，得定往生生方便有餘土，沒有開悟、沒有得定往生生凡聖同居土。雖然到極樂世界都得阿彌陀佛本願威神加持，你所享受的待遇、智慧、神通、道力，都跟法身菩薩沒有兩樣。那是阿彌陀佛慈悲加持給你的，不是你自己自然裡頭生出來的，不是的，阿彌陀佛給你的，也有受用，不太自然。如果我們有十年的時間，下十年的工夫，我們都能夠契入自然中自然相，我們往生極樂世界是實報莊嚴土上品上生，那怎麼會一樣！上品達不到，「取法乎上」，上得不到，「僅得乎中」，還能得中，中就是得定、得清淨心，方便有餘土，方便有餘土是得定的人。所以這個根本，有根本，要肯定，對這樁事情不懷疑，我們有沒有？有。根本就是本源自心，就是本性，就是性德，也就是法性。釋迦牟尼佛跟我們講「一切眾生本來是佛」，那個佛就是根本。記住本來是佛，記住放下便是，為什麼不肯放下？　　節錄自：</w:t>
      </w:r>
      <w:r>
        <w:t xml:space="preserve">02-039-0500 </w:t>
      </w:r>
      <w:r>
        <w:t xml:space="preserve">淨土大經解演義　　</w:t>
      </w:r>
    </w:p>
    <w:sectPr w:rsidR="001B0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AEA1F" w14:textId="77777777" w:rsidR="001B097C" w:rsidRDefault="001B097C" w:rsidP="00734F9E">
      <w:r>
        <w:separator/>
      </w:r>
    </w:p>
  </w:endnote>
  <w:endnote w:type="continuationSeparator" w:id="0">
    <w:p w14:paraId="489332A3" w14:textId="77777777" w:rsidR="001B097C" w:rsidRDefault="001B097C" w:rsidP="00734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B1716" w14:textId="77777777" w:rsidR="001B097C" w:rsidRDefault="001B097C" w:rsidP="00734F9E">
      <w:r>
        <w:separator/>
      </w:r>
    </w:p>
  </w:footnote>
  <w:footnote w:type="continuationSeparator" w:id="0">
    <w:p w14:paraId="5E2E645D" w14:textId="77777777" w:rsidR="001B097C" w:rsidRDefault="001B097C" w:rsidP="00734F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9E"/>
    <w:rsid w:val="001B097C"/>
    <w:rsid w:val="00734F9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BFE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F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F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F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F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