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92D0" w14:textId="77777777" w:rsidR="00B16FBE" w:rsidRDefault="00B16FBE">
      <w:r>
        <w:t>淨土大經解演義節要</w:t>
      </w:r>
      <w:r>
        <w:t>—</w:t>
      </w:r>
      <w:r>
        <w:t>無論是貧富貴賤，普遍都有憂念重重，終身奔波勞碌　　（第一四七Ｏ集）　　檔名：</w:t>
      </w:r>
      <w:r>
        <w:t xml:space="preserve">29-519-1470 </w:t>
      </w:r>
    </w:p>
    <w:p w14:paraId="4B9436F7" w14:textId="77777777" w:rsidR="00B16FBE" w:rsidRDefault="00B16FBE">
      <w:pPr>
        <w:pStyle w:val="a3"/>
      </w:pPr>
      <w:r>
        <w:t xml:space="preserve">　　「《會疏》曰：士農工商，為給自身，故云以自給濟。給，供給也。濟，周濟也」。這是說『勤身營務，以自給濟』，士農工商是指社會上各個階層的人，一生勤奮努力去經營，都是為了生活，讓自己的生活富裕，目的都在此地。我們再看下面，『尊卑、貧富、少長、男女』，這些是泛指「芸芸世人之種種類類」，就是這個社會一切大眾。「世人位高者尊」，這個尊卑是講地位，在社會地位，貧富是指財富，財多則稱為富，財少則稱為貧；年老則稱長，年幼稱少，「種種不同之男男女女，無不同此愚痴貪欲之心，苦心積慮，憂念重重，奔波勞碌，無有已時」。這是說一般社會大眾，現在這個現象是普遍在全世界，都為了名聞利養憂心重重。這個地方所說的，形容得很正確，愚痴這是根。所謂愚痴，對於事實真相不了解，所以一生無論是貧富貴賤，普遍的都有苦心積慮，都有憂念重重，終身奔波勞碌，無有已時，這是停不下來。「故曰：累念積慮，為心走使」，累是積累，念是妄念，他有顧慮，他有煩惱，他有不安，他有患得患失，這些東西擾亂著他度過匆匆忙忙的這個一生。</w:t>
      </w:r>
      <w:r>
        <w:t xml:space="preserve"> </w:t>
      </w:r>
    </w:p>
    <w:p w14:paraId="100D6FE2" w14:textId="77777777" w:rsidR="00B16FBE" w:rsidRDefault="00B16FBE">
      <w:pPr>
        <w:pStyle w:val="a3"/>
      </w:pPr>
      <w:r>
        <w:t xml:space="preserve">　　如果有智慧，真正能夠明瞭，所以古人他不是迷信，古人常常告訴我們，「一生皆是命，半點不由人」，如果這個富貴是可以爭得來的，佛菩薩也會爭，聖賢也會爭，它爭不來，你爭它沒有用，爭不到。這個東西是什麼？命裡有的時候你就有，命裡無時則莫強求，強求不到的。人在這個世間，幸福美滿與富貴不相干，這個道理一定要懂。人活得要幸福、要自在，所以心安理得，你就會自在，明理了。所以古人講「孔顏之樂」，孔夫子快樂，顏回快樂。孔夫子沒有地位，平民；顏回是個非常貧窮的人，貧窮，但是不能說賤，他有高尚的品格。生活，物質生活非常艱難，簞食瓢飲，夫子都感嘆，這種貧困的生活一般人受不了，可是顏回一天到晚快快樂樂，沒當回事。由此可知，幸福真的與這個沒有太大關係，真正有道的人隨遇而安，這個社會才會安定，世界才會和平。他不爭，為什麼不爭？他很清楚，命裡沒有，爭什麼？命裡有的不必爭，命裡沒有的也不需要爭。我們如果讀過《了凡四訓》，對這個事情就完全明白了。　　節錄自：</w:t>
      </w:r>
      <w:r>
        <w:t xml:space="preserve">02-039-0507 </w:t>
      </w:r>
      <w:r>
        <w:t xml:space="preserve">淨土大經解演義　　</w:t>
      </w:r>
    </w:p>
    <w:sectPr w:rsidR="00B16F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C193F" w14:textId="77777777" w:rsidR="00B16FBE" w:rsidRDefault="00B16FBE" w:rsidP="00BA3CD6">
      <w:r>
        <w:separator/>
      </w:r>
    </w:p>
  </w:endnote>
  <w:endnote w:type="continuationSeparator" w:id="0">
    <w:p w14:paraId="0684F4E9" w14:textId="77777777" w:rsidR="00B16FBE" w:rsidRDefault="00B16FBE" w:rsidP="00BA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88659" w14:textId="77777777" w:rsidR="00B16FBE" w:rsidRDefault="00B16FBE" w:rsidP="00BA3CD6">
      <w:r>
        <w:separator/>
      </w:r>
    </w:p>
  </w:footnote>
  <w:footnote w:type="continuationSeparator" w:id="0">
    <w:p w14:paraId="3F15488F" w14:textId="77777777" w:rsidR="00B16FBE" w:rsidRDefault="00B16FBE" w:rsidP="00BA3C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D6"/>
    <w:rsid w:val="00B16FBE"/>
    <w:rsid w:val="00B519F4"/>
    <w:rsid w:val="00BA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B8C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3C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3C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3C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3C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