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FEF9" w14:textId="77777777" w:rsidR="00975804" w:rsidRDefault="00975804">
      <w:r>
        <w:t>淨土大經解演義節要</w:t>
      </w:r>
      <w:r>
        <w:t>—</w:t>
      </w:r>
      <w:r>
        <w:t>轉變要從冤親債主下手　　（第一五一一集）　　檔名：</w:t>
      </w:r>
      <w:r>
        <w:t xml:space="preserve">29-519-1511 </w:t>
      </w:r>
    </w:p>
    <w:p w14:paraId="56677085" w14:textId="77777777" w:rsidR="00975804" w:rsidRDefault="00975804">
      <w:pPr>
        <w:pStyle w:val="a3"/>
      </w:pPr>
      <w:r>
        <w:t xml:space="preserve">　　有很多同學他們很坦白的來告訴我，佛經上講得好，孔子也講得好，我那個誠敬心就是生不起來，要怎樣才生得起來？就是生不起來。為什麼生不起來？不相信人性本善。如果相信本善，就像中國老祖宗說人人都是聖賢，佛講的人人都是佛菩薩，那恭敬心生起來了。我們對佛有沒有恭敬心？有。我們對孔子有沒有尊敬？有。人人都是孔子，人人都是佛菩薩，我們要用對聖賢的恭敬心對一切眾生，這就對了，慢慢從這裡培養。轉變這個觀念要從什麼？要從冤親債主下手。這個人對我不善，我對他還恭敬，這是真的。那人對我好，我對他恭敬，不稀奇。這個人毀謗我、侮辱我、陷害我，我對他還是恭敬。什麼道理？他是佛，他性本善。那對我不好，這是一時誤會，一時迷惑，不要去怪他。這個善與不善，這是假的，他本性本善，他有佛性，他將來會成佛。我們的誠敬心從這裡建立，要真幹，不是說說。</w:t>
      </w:r>
      <w:r>
        <w:t xml:space="preserve"> </w:t>
      </w:r>
    </w:p>
    <w:p w14:paraId="595484E4" w14:textId="77777777" w:rsidR="00975804" w:rsidRDefault="00975804">
      <w:pPr>
        <w:pStyle w:val="a3"/>
      </w:pPr>
      <w:r>
        <w:t xml:space="preserve">　　那怎麼幹法？你家裡有佛堂，你在佛堂面前給他立長生牌位，你每天做早晚課拜佛給他迴向。有，有真幹的，幹了三年，來告訴我，他說淨空法師，我照你這個方法去做，可是我現在提到我那個冤親債主，我還恨他。他說這怎麼辦？我說你功夫還不到家，再幹三年，三年還轉不過來，再幹三年，你就會轉過來了。不要求他轉，先要求我們內心轉，我們真正誠敬心生出來，提升自己的境界，提升自己的靈性。對方要是知道了，他會受感動。我是怎麼對他，看人家怎麼對我。不必讓他知道，十年二十年之後，他會生懺悔心。所以儒跟佛都主張化敵為友，把對立的人要變成好朋友；化怨為親，冤家要變成親家，你這個佛法就學通了，你才得佛法真實利益。永遠記住，「冤家宜解不宜結」，過去生中結的怨要化解，現在絕不能跟人結怨。人家對我有誤會，我們要化解，我們不能把它結在那裡，那就錯了。所有這些對立還不都是誤會嗎？不了解，沒有關係，慢慢就了解，時間長遠了他就知道，不急在一時。　　節錄自：</w:t>
      </w:r>
      <w:r>
        <w:t xml:space="preserve">02-039-0551 </w:t>
      </w:r>
      <w:r>
        <w:t xml:space="preserve">淨土大經解演義　　</w:t>
      </w:r>
    </w:p>
    <w:sectPr w:rsidR="009758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02FB" w14:textId="77777777" w:rsidR="00975804" w:rsidRDefault="00975804" w:rsidP="000B12C9">
      <w:r>
        <w:separator/>
      </w:r>
    </w:p>
  </w:endnote>
  <w:endnote w:type="continuationSeparator" w:id="0">
    <w:p w14:paraId="61EAAE4A" w14:textId="77777777" w:rsidR="00975804" w:rsidRDefault="00975804" w:rsidP="000B1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D038A" w14:textId="77777777" w:rsidR="00975804" w:rsidRDefault="00975804" w:rsidP="000B12C9">
      <w:r>
        <w:separator/>
      </w:r>
    </w:p>
  </w:footnote>
  <w:footnote w:type="continuationSeparator" w:id="0">
    <w:p w14:paraId="620106A2" w14:textId="77777777" w:rsidR="00975804" w:rsidRDefault="00975804" w:rsidP="000B12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C9"/>
    <w:rsid w:val="000B12C9"/>
    <w:rsid w:val="0097580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71B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12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12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12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12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