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5137" w14:textId="77777777" w:rsidR="002A400B" w:rsidRDefault="002A400B">
      <w:r>
        <w:t>學佛答問集</w:t>
      </w:r>
      <w:r>
        <w:t>—</w:t>
      </w:r>
      <w:r>
        <w:t>人死後何處去？　　（第一集）　　檔名：</w:t>
      </w:r>
      <w:r>
        <w:t xml:space="preserve">29-522-0001 </w:t>
      </w:r>
    </w:p>
    <w:p w14:paraId="42EE66A0" w14:textId="77777777" w:rsidR="002A400B" w:rsidRDefault="002A400B">
      <w:pPr>
        <w:pStyle w:val="a3"/>
      </w:pPr>
      <w:r>
        <w:t xml:space="preserve">　　問：人死投鬼胎，是否和世人一樣慢慢長大？眷屬在陽世，他是否知道？他的靈魂還能來嗎？</w:t>
      </w:r>
      <w:r>
        <w:t xml:space="preserve"> </w:t>
      </w:r>
    </w:p>
    <w:p w14:paraId="4EE3D214" w14:textId="77777777" w:rsidR="002A400B" w:rsidRDefault="002A400B">
      <w:pPr>
        <w:pStyle w:val="a3"/>
      </w:pPr>
      <w:r>
        <w:t xml:space="preserve">　　答：這個問題，我想很多人都相信，特別是學佛的同修幾乎都能肯定。人死了之後不一定作鬼，六道輪迴中鬼是六道之一，但是人死了之後作鬼的成分多，這是事實。這是什麼原因？佛經裡面告訴我們：「十法界中包括六道，我們得這個身相因素非常複雜，在許多因素中最重要的一個因素，佛為我們說出，餓鬼道最重要的因素是貪心。」我們想想：這個世間人幾個人沒有貪心？貪心墮餓鬼道，愚痴墮畜生道，瞋恚墮地獄道，佛說「貪瞋痴是三毒煩惱」，貪瞋痴的果報就是餓鬼、畜生、地獄，我們一定要明瞭。</w:t>
      </w:r>
      <w:r>
        <w:t xml:space="preserve"> </w:t>
      </w:r>
    </w:p>
    <w:p w14:paraId="14FF2DD3" w14:textId="77777777" w:rsidR="002A400B" w:rsidRDefault="002A400B">
      <w:pPr>
        <w:pStyle w:val="a3"/>
      </w:pPr>
      <w:r>
        <w:t xml:space="preserve">　　鬼確實也跟人一樣，也可以慢慢長大。鬼道的受生跟我們人道不同，人道是胎生，鬼道是「胎卵濕化」四種生態都有。而貪心很重，在人間也做了不少好事，這是有福報的鬼，有福報的鬼多半是化生，他沒有受生之苦。鬼道有報得五通，這是決定佔多數，所以陽世後代的祭祀他知道，若有這個緣分，他也能來。像我們這個道場就很多，我們這個道場看不見的這些眾生，比我們肉眼看得見的要多很多倍，同學中有些人有特別緣分的也能見到，也能覺察到。　　節錄自：</w:t>
      </w:r>
      <w:r>
        <w:t>21-090-0001</w:t>
      </w:r>
      <w:r>
        <w:t xml:space="preserve">學佛答問　　</w:t>
      </w:r>
    </w:p>
    <w:sectPr w:rsidR="002A40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279E5" w14:textId="77777777" w:rsidR="002A400B" w:rsidRDefault="002A400B" w:rsidP="0017392C">
      <w:r>
        <w:separator/>
      </w:r>
    </w:p>
  </w:endnote>
  <w:endnote w:type="continuationSeparator" w:id="0">
    <w:p w14:paraId="2ECCEF2F" w14:textId="77777777" w:rsidR="002A400B" w:rsidRDefault="002A400B" w:rsidP="00173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B4168" w14:textId="77777777" w:rsidR="002A400B" w:rsidRDefault="002A400B" w:rsidP="0017392C">
      <w:r>
        <w:separator/>
      </w:r>
    </w:p>
  </w:footnote>
  <w:footnote w:type="continuationSeparator" w:id="0">
    <w:p w14:paraId="21FAFA15" w14:textId="77777777" w:rsidR="002A400B" w:rsidRDefault="002A400B" w:rsidP="001739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2C"/>
    <w:rsid w:val="0017392C"/>
    <w:rsid w:val="002A40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3BF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9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9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9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9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