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374F" w14:textId="77777777" w:rsidR="005F1F89" w:rsidRDefault="005F1F89">
      <w:r>
        <w:t>學佛答問集</w:t>
      </w:r>
      <w:r>
        <w:t>—</w:t>
      </w:r>
      <w:r>
        <w:t xml:space="preserve">為人助念，他的冤親債主會來算賬嗎？　　（第一六三集）　　</w:t>
      </w:r>
      <w:r>
        <w:t>2000/9/6</w:t>
      </w:r>
      <w:r>
        <w:t xml:space="preserve">　　新加坡佛教居士林　　檔名：</w:t>
      </w:r>
      <w:r>
        <w:t xml:space="preserve">29-522-0163 </w:t>
      </w:r>
    </w:p>
    <w:p w14:paraId="3E028C25" w14:textId="77777777" w:rsidR="005F1F89" w:rsidRDefault="005F1F89">
      <w:pPr>
        <w:pStyle w:val="a3"/>
      </w:pPr>
      <w:r>
        <w:t xml:space="preserve">　　問：「我們經常為臨終的人助念，哈爾濱有位出家人說：『你們給他助念，他死後，他的冤親債主將來在你臨終時要跟你算帳。』所以有人就不敢助念了。我想這是不對的，可是又找不到依據來說明，請開示。」</w:t>
      </w:r>
      <w:r>
        <w:t xml:space="preserve"> </w:t>
      </w:r>
    </w:p>
    <w:p w14:paraId="02C73500" w14:textId="77777777" w:rsidR="005F1F89" w:rsidRDefault="005F1F89">
      <w:pPr>
        <w:pStyle w:val="a3"/>
      </w:pPr>
      <w:r>
        <w:t xml:space="preserve">　　答：這個道理很簡單，你幫他助念，他到西方極樂世界作佛了；將來你臨終的時候，他的冤親債主找你的麻煩，那個佛來幫助你，你操這種心幹什麼？大慈菩薩講得好，幫助兩個人往生，就比你自己精進；你能幫助十幾個以上的人往生，你的福報就無量無邊；能夠幫助幾百個人往生，你就是真正菩薩。助念是幫助人往生成佛，這是世間第一等功德，再也沒有比這個功德殊勝的。</w:t>
      </w:r>
      <w:r>
        <w:t xml:space="preserve"> </w:t>
      </w:r>
    </w:p>
    <w:p w14:paraId="2F48E50B" w14:textId="77777777" w:rsidR="005F1F89" w:rsidRDefault="005F1F89">
      <w:pPr>
        <w:pStyle w:val="a3"/>
      </w:pPr>
      <w:r>
        <w:t xml:space="preserve">　　那個人說的話，你說：「他的冤親債主來找我，你拿出證據給我看，如果沒有證據，你隨口造謠，這是不能叫人取信。」我們一切要依佛法，佛經教導我們「四依法」：「依法不依人」，「依義不依語」，「依了義不依不了義」，「依智不依識」，依理智不依感情用事，這是很正確的。　　節錄自：</w:t>
      </w:r>
      <w:r>
        <w:t>21-090-0012</w:t>
      </w:r>
      <w:r>
        <w:t xml:space="preserve">學佛答問　　</w:t>
      </w:r>
    </w:p>
    <w:sectPr w:rsidR="005F1F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9D273" w14:textId="77777777" w:rsidR="005F1F89" w:rsidRDefault="005F1F89" w:rsidP="008110BA">
      <w:r>
        <w:separator/>
      </w:r>
    </w:p>
  </w:endnote>
  <w:endnote w:type="continuationSeparator" w:id="0">
    <w:p w14:paraId="5118319B" w14:textId="77777777" w:rsidR="005F1F89" w:rsidRDefault="005F1F89" w:rsidP="0081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42E8F" w14:textId="77777777" w:rsidR="005F1F89" w:rsidRDefault="005F1F89" w:rsidP="008110BA">
      <w:r>
        <w:separator/>
      </w:r>
    </w:p>
  </w:footnote>
  <w:footnote w:type="continuationSeparator" w:id="0">
    <w:p w14:paraId="3B6D3606" w14:textId="77777777" w:rsidR="005F1F89" w:rsidRDefault="005F1F89" w:rsidP="0081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BA"/>
    <w:rsid w:val="005F1F89"/>
    <w:rsid w:val="008110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1B1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0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0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0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0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