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A2C9" w14:textId="77777777" w:rsidR="008F3BCA" w:rsidRDefault="008F3BCA">
      <w:r>
        <w:t>學佛答問集</w:t>
      </w:r>
      <w:r>
        <w:t>—</w:t>
      </w:r>
      <w:r>
        <w:t xml:space="preserve">冤魂十世跟隨國師，不必去受報嗎？　　（第一六九集）　　</w:t>
      </w:r>
      <w:r>
        <w:t>2000/9/18</w:t>
      </w:r>
      <w:r>
        <w:t xml:space="preserve">　　新加坡佛教居士林　　檔名：</w:t>
      </w:r>
      <w:r>
        <w:t xml:space="preserve">29-522-0169 </w:t>
      </w:r>
    </w:p>
    <w:p w14:paraId="5221C6F2" w14:textId="77777777" w:rsidR="008F3BCA" w:rsidRDefault="008F3BCA">
      <w:pPr>
        <w:pStyle w:val="a3"/>
      </w:pPr>
      <w:r>
        <w:t xml:space="preserve">　　問：「《感應篇》說：『人看不到鬼，鬼看不到人』，但為什麼又說：『冤鬼時常在我們周圍等待機會？』有一個公案說，十世跟隨悟達國師，十世那麼長的時間，難道這些冤魂不必去受報嗎？他們不必幹活嗎？請開示。」</w:t>
      </w:r>
      <w:r>
        <w:t xml:space="preserve"> </w:t>
      </w:r>
    </w:p>
    <w:p w14:paraId="74DA0827" w14:textId="77777777" w:rsidR="008F3BCA" w:rsidRDefault="008F3BCA">
      <w:pPr>
        <w:pStyle w:val="a3"/>
      </w:pPr>
      <w:r>
        <w:t xml:space="preserve">　　答：這個事情很複雜，不是很單純。這個鬼能夠跟著悟達國師十世等待機會報仇，也不是平常的鬼，平常的鬼做不到。不說別的，就是沒有這個耐心也不行，就像你所說的，他早就去投胎了，早去幹活去了，他哪裡能等到十世？由此可知，這冤仇結得很深，報復的心太強烈了，所以他能夠追隨，能夠跟著。如果報復的心沒有這麼強烈，等待一段時期沒有機會報復，他就不等了，他就走了，這種情形也很多。像這麼執著，十世都不肯放鬆，很少很少，這不是普通的冤鬼。</w:t>
      </w:r>
      <w:r>
        <w:t xml:space="preserve"> </w:t>
      </w:r>
    </w:p>
    <w:p w14:paraId="6B77C2FE" w14:textId="77777777" w:rsidR="008F3BCA" w:rsidRDefault="008F3BCA">
      <w:pPr>
        <w:pStyle w:val="a3"/>
      </w:pPr>
      <w:r>
        <w:t xml:space="preserve">　　人跟鬼能夠相遇都是有特別的緣分，如果沒有特別的緣分是不可能的。人見不到鬼，鬼也見不到人，如果彼此能相見就產生干擾，所以彼此不相見。但是在一些特殊情況、緣分之下會見到，我們同修中見到鬼神的人也有不少人，他們對我談起，所見到鬼神的狀況，與經典記載的都相應，這是真的不是假的。　　節錄自：</w:t>
      </w:r>
      <w:r>
        <w:t>21-090-0013</w:t>
      </w:r>
      <w:r>
        <w:t xml:space="preserve">學佛答問　　</w:t>
      </w:r>
    </w:p>
    <w:sectPr w:rsidR="008F3B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9561F" w14:textId="77777777" w:rsidR="008F3BCA" w:rsidRDefault="008F3BCA" w:rsidP="00433A5A">
      <w:r>
        <w:separator/>
      </w:r>
    </w:p>
  </w:endnote>
  <w:endnote w:type="continuationSeparator" w:id="0">
    <w:p w14:paraId="43A0623E" w14:textId="77777777" w:rsidR="008F3BCA" w:rsidRDefault="008F3BCA" w:rsidP="00433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C58B4" w14:textId="77777777" w:rsidR="008F3BCA" w:rsidRDefault="008F3BCA" w:rsidP="00433A5A">
      <w:r>
        <w:separator/>
      </w:r>
    </w:p>
  </w:footnote>
  <w:footnote w:type="continuationSeparator" w:id="0">
    <w:p w14:paraId="3AEA7F0E" w14:textId="77777777" w:rsidR="008F3BCA" w:rsidRDefault="008F3BCA" w:rsidP="00433A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5A"/>
    <w:rsid w:val="00433A5A"/>
    <w:rsid w:val="008F3BC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35EC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3A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3A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3A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3A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