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30DC6" w14:textId="77777777" w:rsidR="00641CA3" w:rsidRDefault="00641CA3">
      <w:r>
        <w:t>學佛答問集</w:t>
      </w:r>
      <w:r>
        <w:t>—</w:t>
      </w:r>
      <w:r>
        <w:t xml:space="preserve">站著念佛，將來站著往生？　　（第二一六集）　　</w:t>
      </w:r>
      <w:r>
        <w:t>2000/9/22</w:t>
      </w:r>
      <w:r>
        <w:t xml:space="preserve">　　新加坡佛教居士林　　檔名：</w:t>
      </w:r>
      <w:r>
        <w:t xml:space="preserve">29-522-0216 </w:t>
      </w:r>
    </w:p>
    <w:p w14:paraId="1BE4310F" w14:textId="77777777" w:rsidR="00641CA3" w:rsidRDefault="00641CA3">
      <w:pPr>
        <w:pStyle w:val="a3"/>
      </w:pPr>
      <w:r>
        <w:t xml:space="preserve">　　問：「有人站著念佛，為了將來能夠站著往生，請問這樣對嗎？」</w:t>
      </w:r>
      <w:r>
        <w:t xml:space="preserve"> </w:t>
      </w:r>
    </w:p>
    <w:p w14:paraId="1C3AD4E8" w14:textId="77777777" w:rsidR="00641CA3" w:rsidRDefault="00641CA3">
      <w:pPr>
        <w:pStyle w:val="a3"/>
      </w:pPr>
      <w:r>
        <w:t xml:space="preserve">　　答：不一定。你不站著念佛，想站著往生也行。不一定說站著念佛的人往生是站著走的，坐著念佛的人往生是坐著走的，不是這樣的。臨終怎麼走法有兩個因素：一個是自己功夫純熟，另一個是自己願力，總不出這兩個原因。</w:t>
      </w:r>
      <w:r>
        <w:t xml:space="preserve"> </w:t>
      </w:r>
    </w:p>
    <w:p w14:paraId="18069490" w14:textId="77777777" w:rsidR="00641CA3" w:rsidRDefault="00641CA3">
      <w:pPr>
        <w:pStyle w:val="a3"/>
      </w:pPr>
      <w:r>
        <w:t xml:space="preserve">　　我們在《影塵回憶錄》裡面倓虛法師的自傳，倓老曾經說過他的一位師兄，諦閑老和尚有一位徒弟，未出家時作鍋漏匠，這是很苦的工作，中年以後發心出家念佛，諦閑老和尚非常慈悲，告訴他不要住在寺院，住在寺院每天一定要做早晚兩堂功課，他那麼大的年歲兩堂功課學不會，免不了大眾對他譏刺，恐怕他受不了。他沒有念過書，學經教都來不及了。所以在鄉下找了一間沒人住的破廟，讓他一個人住在那裡。鄉村附近有一些念佛的人，找幾個人來護持他、照顧他。老和尚教他：「你就老老實實念阿彌陀佛，念累了就休息，休息好了就接著念。」他能夠依教奉行，大概念了三年到四年，他真的念成功了，往生是站著走的。護持的幾位老居士們看到他站著往生了，趕緊到溫州天台山給諦閑老和尚報信。那個時候是走路，沒交通工具，諦閑老和尚趕緊就趕到這個小廟，這樣來回兩三天，他死了以後還站了兩三天，等他師父來幫他處理後事。所以念佛不是說站著念就站著走，坐著念就坐著走，是自己的功夫跟願力。　　節錄自：</w:t>
      </w:r>
      <w:r>
        <w:t>21-090-0016</w:t>
      </w:r>
      <w:r>
        <w:t xml:space="preserve">學佛答問　　</w:t>
      </w:r>
    </w:p>
    <w:sectPr w:rsidR="00641C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1FAF4" w14:textId="77777777" w:rsidR="00641CA3" w:rsidRDefault="00641CA3" w:rsidP="00F94211">
      <w:r>
        <w:separator/>
      </w:r>
    </w:p>
  </w:endnote>
  <w:endnote w:type="continuationSeparator" w:id="0">
    <w:p w14:paraId="0AB39630" w14:textId="77777777" w:rsidR="00641CA3" w:rsidRDefault="00641CA3" w:rsidP="00F94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530C3" w14:textId="77777777" w:rsidR="00641CA3" w:rsidRDefault="00641CA3" w:rsidP="00F94211">
      <w:r>
        <w:separator/>
      </w:r>
    </w:p>
  </w:footnote>
  <w:footnote w:type="continuationSeparator" w:id="0">
    <w:p w14:paraId="4C541EF0" w14:textId="77777777" w:rsidR="00641CA3" w:rsidRDefault="00641CA3" w:rsidP="00F942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211"/>
    <w:rsid w:val="00641CA3"/>
    <w:rsid w:val="00B519F4"/>
    <w:rsid w:val="00F9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E3C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42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42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42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42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