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86F0" w14:textId="77777777" w:rsidR="00C713FB" w:rsidRDefault="00C713FB">
      <w:r>
        <w:t>學佛答問集</w:t>
      </w:r>
      <w:r>
        <w:t>—</w:t>
      </w:r>
      <w:r>
        <w:t xml:space="preserve">為免母親哀傷而隱瞞噩耗，是否不孝、妄語？　　（第二三五集）　　</w:t>
      </w:r>
      <w:r>
        <w:t>2000/9/24</w:t>
      </w:r>
      <w:r>
        <w:t xml:space="preserve">　　新加坡佛教居士林　　檔名：</w:t>
      </w:r>
      <w:r>
        <w:t xml:space="preserve">29-522-0235 </w:t>
      </w:r>
    </w:p>
    <w:p w14:paraId="306F8626" w14:textId="77777777" w:rsidR="00C713FB" w:rsidRDefault="00C713FB">
      <w:pPr>
        <w:pStyle w:val="a3"/>
      </w:pPr>
      <w:r>
        <w:t xml:space="preserve">　　問：「舍弟兩年前突然車禍意外，那時為了老母親的健康設想，我們兄弟姊妹商議共瞞老人家，藉詞他已經到外地遠方謀生，不易回來探親。然後把舍弟的後事跟孩子都處理安頓好。當時本人曾跪在老母親面前求饒道，有未言明之事，請她老人家原諒我們。已經八十高齡的母親，近來常常盤問舍弟何時可以回來看看家人，常掛心將來少一個兒子送終。我們兄弟姊妹均知道如此作法是大不孝、大妄語，而又不得不犯上，欺騙老人家，如今我們深感艱難，步步圓謊。請開示。」</w:t>
      </w:r>
      <w:r>
        <w:t xml:space="preserve"> </w:t>
      </w:r>
    </w:p>
    <w:p w14:paraId="417A2BEF" w14:textId="77777777" w:rsidR="00C713FB" w:rsidRDefault="00C713FB">
      <w:pPr>
        <w:pStyle w:val="a3"/>
      </w:pPr>
      <w:r>
        <w:t xml:space="preserve">　　答：這個事情，你們的作法是一片孝心，這不叫妄語，這在妄語裡面叫「開緣」，你們沒有犯戒，這是開戒。如果老人家知道了，她非常悲痛，還是以善巧方便瞞著她。要勸老人家念佛，對於親情不要執著，要放下，這樣念佛往生就不至於產生障礙。</w:t>
      </w:r>
      <w:r>
        <w:t xml:space="preserve"> </w:t>
      </w:r>
    </w:p>
    <w:p w14:paraId="06F43849" w14:textId="77777777" w:rsidR="00C713FB" w:rsidRDefault="00C713FB">
      <w:pPr>
        <w:pStyle w:val="a3"/>
      </w:pPr>
      <w:r>
        <w:t xml:space="preserve">　　凡是念佛人到最後不能往生，總不外乎兩個因素：一個就是親情放不下；另外一個是冤家債主放不下，哪些人過去得罪他的，他還沒有報復，念念懷恨在心，這個也不能往生；一個是貪愛，一個是瞋恚。所以對於親情、冤家債主都要看得淡薄，一心專念阿彌陀佛，求生淨土。把淨土的殊勝，念佛的好處、功德利益，以及你所知道的那些往生的故事，常常講給老人家聽。八十多歲了，講經她未必能聽得懂，未必有興趣，講往生的故事，她會很歡喜，用這個來幫助她、勉勵她，這樣就好。　　節錄自：</w:t>
      </w:r>
      <w:r>
        <w:t>21-090-0017</w:t>
      </w:r>
      <w:r>
        <w:t xml:space="preserve">學佛答問　　</w:t>
      </w:r>
    </w:p>
    <w:sectPr w:rsidR="00C713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4484" w14:textId="77777777" w:rsidR="00C713FB" w:rsidRDefault="00C713FB" w:rsidP="001104D4">
      <w:r>
        <w:separator/>
      </w:r>
    </w:p>
  </w:endnote>
  <w:endnote w:type="continuationSeparator" w:id="0">
    <w:p w14:paraId="3D6042A1" w14:textId="77777777" w:rsidR="00C713FB" w:rsidRDefault="00C713FB" w:rsidP="0011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30D1F" w14:textId="77777777" w:rsidR="00C713FB" w:rsidRDefault="00C713FB" w:rsidP="001104D4">
      <w:r>
        <w:separator/>
      </w:r>
    </w:p>
  </w:footnote>
  <w:footnote w:type="continuationSeparator" w:id="0">
    <w:p w14:paraId="4269CEDC" w14:textId="77777777" w:rsidR="00C713FB" w:rsidRDefault="00C713FB" w:rsidP="00110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D4"/>
    <w:rsid w:val="001104D4"/>
    <w:rsid w:val="00B519F4"/>
    <w:rsid w:val="00C7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47D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