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AB76" w14:textId="77777777" w:rsidR="00614AA4" w:rsidRDefault="00614AA4">
      <w:r>
        <w:t>學佛答問集</w:t>
      </w:r>
      <w:r>
        <w:t>—</w:t>
      </w:r>
      <w:r>
        <w:t xml:space="preserve">如何得禪定，在念佛堂念佛會得禪定嗎？　　（第二六四集）　　</w:t>
      </w:r>
      <w:r>
        <w:t>2000/9/26</w:t>
      </w:r>
      <w:r>
        <w:t xml:space="preserve">　　新加坡佛教居士林　　檔名：</w:t>
      </w:r>
      <w:r>
        <w:t xml:space="preserve">29-522-0264 </w:t>
      </w:r>
    </w:p>
    <w:p w14:paraId="37D69C9E" w14:textId="77777777" w:rsidR="00614AA4" w:rsidRDefault="00614AA4">
      <w:pPr>
        <w:pStyle w:val="a3"/>
      </w:pPr>
      <w:r>
        <w:t xml:space="preserve">　　問：「請問如何得禪定？在念佛堂念佛號會得禪定否？若不能，要怎樣才能得到？」</w:t>
      </w:r>
      <w:r>
        <w:t xml:space="preserve"> </w:t>
      </w:r>
    </w:p>
    <w:p w14:paraId="3F432F91" w14:textId="77777777" w:rsidR="00614AA4" w:rsidRDefault="00614AA4">
      <w:pPr>
        <w:pStyle w:val="a3"/>
      </w:pPr>
      <w:r>
        <w:t xml:space="preserve">　　答：首先我們要懂得什麼是「禪定」，要把禪定的定義搞明白，不能夠產生誤會。禪宗六祖惠能大師在《壇經》為我們解釋，「外不著相叫禪」，「內不動心叫定」，坐禪，「內不動心叫坐」，坐就是定。我們曉得六祖大師在黃梅參學，他是從《金剛般若經》悟入的，這個說法也是從《金剛經》裡面來的。《金剛經》在末後世尊教導須菩提，弘法利生必須要具備的條件，就是「不取於相，如如不動」。不取於相就是外不著相，如如不動就是內不動心，所以六祖的講法，就是《金剛經》這兩句話。這兩句話用現代的話說，內不起是非人我之見，不生貪瞋痴慢疑之想，這是定；外不受外面境界五欲六塵境界的誘惑，這是禪。所以你要懂得禪定真正的意義，然後才曉得佛法八萬四千法門都是修禪。佛法修行的總綱領是因戒得定，因定開慧，戒定慧三學。禪定是屬於定學，是佛家修行的樞紐。</w:t>
      </w:r>
      <w:r>
        <w:t xml:space="preserve"> </w:t>
      </w:r>
    </w:p>
    <w:p w14:paraId="0F84A32C" w14:textId="77777777" w:rsidR="00614AA4" w:rsidRDefault="00614AA4">
      <w:pPr>
        <w:pStyle w:val="a3"/>
      </w:pPr>
      <w:r>
        <w:t xml:space="preserve">　　八萬四千法門，這是說修禪定的方法、手段不一樣，但論方法、手段是無量無邊，不止八萬四千，哪個法門都能成就禪定，都能幫助你「內不動心，外不著相」。所以，念佛堂當然可以成就禪定，不但成就禪定，而且成就很深的禪定。釋迦牟尼佛在《大集經》裡面讚歎念佛法門為「無上深妙禪」。無上深妙禪就是淨宗講的功夫成片、事一心不亂、理一心不亂，也叫「念佛三昧」。我們明白這個事實真相，對於修學就不至於疑惑，依照經典的理論方法修學決定會成就。　　節錄自：</w:t>
      </w:r>
      <w:r>
        <w:t>21-090-0019</w:t>
      </w:r>
      <w:r>
        <w:t xml:space="preserve">學佛答問　　</w:t>
      </w:r>
    </w:p>
    <w:sectPr w:rsidR="00614A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DF261" w14:textId="77777777" w:rsidR="00614AA4" w:rsidRDefault="00614AA4" w:rsidP="00AC226B">
      <w:r>
        <w:separator/>
      </w:r>
    </w:p>
  </w:endnote>
  <w:endnote w:type="continuationSeparator" w:id="0">
    <w:p w14:paraId="24C90325" w14:textId="77777777" w:rsidR="00614AA4" w:rsidRDefault="00614AA4" w:rsidP="00AC2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F2062" w14:textId="77777777" w:rsidR="00614AA4" w:rsidRDefault="00614AA4" w:rsidP="00AC226B">
      <w:r>
        <w:separator/>
      </w:r>
    </w:p>
  </w:footnote>
  <w:footnote w:type="continuationSeparator" w:id="0">
    <w:p w14:paraId="5A1BD032" w14:textId="77777777" w:rsidR="00614AA4" w:rsidRDefault="00614AA4" w:rsidP="00AC22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6B"/>
    <w:rsid w:val="00614AA4"/>
    <w:rsid w:val="00AC22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FFB7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2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2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2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2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