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B6E3" w14:textId="77777777" w:rsidR="00AE7224" w:rsidRDefault="00AE7224">
      <w:r>
        <w:t>學佛答問集</w:t>
      </w:r>
      <w:r>
        <w:t>—</w:t>
      </w:r>
      <w:r>
        <w:t xml:space="preserve">素食者是否可以吃生蠔、雪蛤和燕窩？　　（第二七六集）　　</w:t>
      </w:r>
      <w:r>
        <w:t>2000/9/28</w:t>
      </w:r>
      <w:r>
        <w:t xml:space="preserve">　　新加坡佛教居士林　　檔名：</w:t>
      </w:r>
      <w:r>
        <w:t xml:space="preserve">29-522-0276 </w:t>
      </w:r>
    </w:p>
    <w:p w14:paraId="5305CEE6" w14:textId="77777777" w:rsidR="00AE7224" w:rsidRDefault="00AE7224">
      <w:pPr>
        <w:pStyle w:val="a3"/>
      </w:pPr>
      <w:r>
        <w:t xml:space="preserve">　　問：「請問素食者是否可以吃生蠔、雪蛤和燕窩？」</w:t>
      </w:r>
      <w:r>
        <w:t xml:space="preserve"> </w:t>
      </w:r>
    </w:p>
    <w:p w14:paraId="20DF1C62" w14:textId="77777777" w:rsidR="00AE7224" w:rsidRDefault="00AE7224">
      <w:pPr>
        <w:pStyle w:val="a3"/>
      </w:pPr>
      <w:r>
        <w:t xml:space="preserve">　　答：這樁事情自己去想想，發心素食是不忍食一切眾生肉，如果這是有生命的，這都是在禁止之內。但是佛法有開緣，當身體衰弱時，有疾病時，經過醫生的診斷，需要用這個東西配藥，或者是確實對身體的病痛有所幫助的話，這有開緣。學佛對於禁戒一定要懂得開遮持犯，佛法無論在哪一方面都是通情達理，所謂是合情、合理、合法，戒律並不難持，主要是要真正搞清楚。　　</w:t>
      </w:r>
      <w:r>
        <w:t xml:space="preserve"> </w:t>
      </w:r>
    </w:p>
    <w:p w14:paraId="2A509260" w14:textId="77777777" w:rsidR="00AE7224" w:rsidRDefault="00AE7224">
      <w:pPr>
        <w:pStyle w:val="a3"/>
      </w:pPr>
      <w:r>
        <w:t xml:space="preserve">　　節錄自：</w:t>
      </w:r>
      <w:r>
        <w:t>21-090-0021</w:t>
      </w:r>
      <w:r>
        <w:t xml:space="preserve">學佛答問　　</w:t>
      </w:r>
    </w:p>
    <w:sectPr w:rsidR="00AE72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DB8CB" w14:textId="77777777" w:rsidR="00AE7224" w:rsidRDefault="00AE7224" w:rsidP="00814AD7">
      <w:r>
        <w:separator/>
      </w:r>
    </w:p>
  </w:endnote>
  <w:endnote w:type="continuationSeparator" w:id="0">
    <w:p w14:paraId="681679E4" w14:textId="77777777" w:rsidR="00AE7224" w:rsidRDefault="00AE7224" w:rsidP="00814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3BF14" w14:textId="77777777" w:rsidR="00AE7224" w:rsidRDefault="00AE7224" w:rsidP="00814AD7">
      <w:r>
        <w:separator/>
      </w:r>
    </w:p>
  </w:footnote>
  <w:footnote w:type="continuationSeparator" w:id="0">
    <w:p w14:paraId="3DFF0292" w14:textId="77777777" w:rsidR="00AE7224" w:rsidRDefault="00AE7224" w:rsidP="00814A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D7"/>
    <w:rsid w:val="00814AD7"/>
    <w:rsid w:val="00AE722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61D8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4A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4A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4A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4A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