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78B2" w14:textId="77777777" w:rsidR="00A23BCF" w:rsidRDefault="00A23BCF">
      <w:r>
        <w:t>學佛答問集</w:t>
      </w:r>
      <w:r>
        <w:t>—</w:t>
      </w:r>
      <w:r>
        <w:t xml:space="preserve">佛的教育好比補藥，是否心靈先解毒才有收效？　　（第三五四集）　　</w:t>
      </w:r>
      <w:r>
        <w:t>2000/10/5</w:t>
      </w:r>
      <w:r>
        <w:t xml:space="preserve">　　新加坡佛教居士林　　檔名：</w:t>
      </w:r>
      <w:r>
        <w:t xml:space="preserve">29-522-0354 </w:t>
      </w:r>
    </w:p>
    <w:p w14:paraId="34F51A15" w14:textId="77777777" w:rsidR="00A23BCF" w:rsidRDefault="00A23BCF">
      <w:pPr>
        <w:pStyle w:val="a3"/>
      </w:pPr>
      <w:r>
        <w:t xml:space="preserve">　　問：「佛教是宇宙人生的教育，而不是宗教與哲學。佛的教育好比是補藥，但要讓所服的補藥能立竿見影的收效，如法師所說的『真幹』，因此，是否眾生心靈上的毒素，必須去做解毒，也就是先給聽眾喝解毒湯，毒解了，如此才能進補達到藥到病除、妙手回春的成果。請告訴我們有哪些佛經裡，有開示世間一切宗教教理及一切命相、卜卦、紫微斗數、風水、靈異奇譚等等，是為何種原因才有此一切現象產生與存在？也請法師開示此一切現象是因為何種原因才產生的。」</w:t>
      </w:r>
      <w:r>
        <w:t xml:space="preserve"> </w:t>
      </w:r>
    </w:p>
    <w:p w14:paraId="39F6742B" w14:textId="77777777" w:rsidR="00A23BCF" w:rsidRDefault="00A23BCF">
      <w:pPr>
        <w:pStyle w:val="a3"/>
      </w:pPr>
      <w:r>
        <w:t xml:space="preserve">　　答：這個問題問得很廣泛，要詳細解答時間很長，不是這一、兩個小時能講得完。我可以介紹一本佛經給你看，這是我們從前在台中培訓班裡面學過的，這部經是《阿難問事佛吉凶經》。這部經過去也講過好幾遍，你問的問題都在其中。但是你想要知道的，你舉的比喻不錯，佛的教誨是進補，但是先要去三毒煩惱，你這個看法非常正確，煩惱不除，智慧決定不開，所以必須要先斷煩惱，要懂得斷惡修善，然後進一步才能夠破迷開悟。煩惱不斷，你的迷關永遠不能破，所以我們要想破迷，你就必須先斷煩惱。佛教給我們斷惡修善從哪裡做起？從十善業道做起。所以《十善業道經》要好好的讀，要認真努力奉行，這就是解毒的辦法。　　節錄自：</w:t>
      </w:r>
      <w:r>
        <w:t>21-090-0026</w:t>
      </w:r>
      <w:r>
        <w:t xml:space="preserve">學佛答問　　</w:t>
      </w:r>
    </w:p>
    <w:sectPr w:rsidR="00A23B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FCD64" w14:textId="77777777" w:rsidR="00A23BCF" w:rsidRDefault="00A23BCF" w:rsidP="00465AE1">
      <w:r>
        <w:separator/>
      </w:r>
    </w:p>
  </w:endnote>
  <w:endnote w:type="continuationSeparator" w:id="0">
    <w:p w14:paraId="22138129" w14:textId="77777777" w:rsidR="00A23BCF" w:rsidRDefault="00A23BCF" w:rsidP="00465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BDAEF" w14:textId="77777777" w:rsidR="00A23BCF" w:rsidRDefault="00A23BCF" w:rsidP="00465AE1">
      <w:r>
        <w:separator/>
      </w:r>
    </w:p>
  </w:footnote>
  <w:footnote w:type="continuationSeparator" w:id="0">
    <w:p w14:paraId="54CF6A2E" w14:textId="77777777" w:rsidR="00A23BCF" w:rsidRDefault="00A23BCF" w:rsidP="00465A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E1"/>
    <w:rsid w:val="00465AE1"/>
    <w:rsid w:val="00A23BC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B7A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A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A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A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A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