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12D6B" w14:textId="77777777" w:rsidR="00AD7C46" w:rsidRDefault="00AD7C46">
      <w:r>
        <w:t>學佛答問集</w:t>
      </w:r>
      <w:r>
        <w:t>—</w:t>
      </w:r>
      <w:r>
        <w:t xml:space="preserve">中品中生以下，能否乘願再來度眾生？　　（第三七三集）　　</w:t>
      </w:r>
      <w:r>
        <w:t>2000/10/17</w:t>
      </w:r>
      <w:r>
        <w:t xml:space="preserve">　　新加坡佛教居士林　　檔名：</w:t>
      </w:r>
      <w:r>
        <w:t xml:space="preserve">29-522-0373 </w:t>
      </w:r>
    </w:p>
    <w:p w14:paraId="2AF82755" w14:textId="77777777" w:rsidR="00AD7C46" w:rsidRDefault="00AD7C46">
      <w:pPr>
        <w:pStyle w:val="a3"/>
      </w:pPr>
      <w:r>
        <w:t xml:space="preserve">　　問：「有一位法師說：『我們念佛要求往生西方淨土的人，如果沒有達到中品中生以上的話，來不及赴彌勒佛龍華三會，隨著佛度眾生。』如果在中品中生以下的人，是不是也能乘願再來人間度眾生？聽說西方世界一天時間，在我們人間要幾十劫，是否這樣說法？」</w:t>
      </w:r>
      <w:r>
        <w:t xml:space="preserve"> </w:t>
      </w:r>
    </w:p>
    <w:p w14:paraId="0D09A9F8" w14:textId="77777777" w:rsidR="00AD7C46" w:rsidRDefault="00AD7C46">
      <w:pPr>
        <w:pStyle w:val="a3"/>
      </w:pPr>
      <w:r>
        <w:t xml:space="preserve">　　答：你這一些疑惑是多餘的，不要去理會它，趕緊念佛到西方淨土要緊，這些事情可以當面去問阿彌陀佛，阿彌陀佛會給你解答。如果你等不及，現在就想要了解，你去念《楞嚴經》、念《華嚴經》。佛在經典上把這些理事都講解得很透徹，決定不要執著。</w:t>
      </w:r>
      <w:r>
        <w:t xml:space="preserve"> </w:t>
      </w:r>
    </w:p>
    <w:p w14:paraId="46CA4A83" w14:textId="77777777" w:rsidR="00AD7C46" w:rsidRDefault="00AD7C46">
      <w:pPr>
        <w:pStyle w:val="a3"/>
      </w:pPr>
      <w:r>
        <w:t xml:space="preserve">　　法師說的是他的意思，不是佛的意思。我們學佛要跟佛學，不能跟法師學，這一點很重要。再有修行的法師，甚至於是羅漢、甚至於是菩薩、甚至於是地上菩薩來給我們講經說法，如果跟佛經上講的不一樣，我們都可以不聽。這個話不是我說的，善導大師在《觀無量壽佛經註解．上品上生章》所講的。這一章我們過去特別講過，跟大家介紹過，善導大師非常堅定的教導我們「依法不依人」。　　節錄自：</w:t>
      </w:r>
      <w:r>
        <w:t>21-090-0029</w:t>
      </w:r>
      <w:r>
        <w:t xml:space="preserve">學佛答問　　</w:t>
      </w:r>
    </w:p>
    <w:sectPr w:rsidR="00AD7C4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1DECB" w14:textId="77777777" w:rsidR="00AD7C46" w:rsidRDefault="00AD7C46" w:rsidP="00753C34">
      <w:r>
        <w:separator/>
      </w:r>
    </w:p>
  </w:endnote>
  <w:endnote w:type="continuationSeparator" w:id="0">
    <w:p w14:paraId="0E54CE75" w14:textId="77777777" w:rsidR="00AD7C46" w:rsidRDefault="00AD7C46" w:rsidP="00753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64FA2" w14:textId="77777777" w:rsidR="00AD7C46" w:rsidRDefault="00AD7C46" w:rsidP="00753C34">
      <w:r>
        <w:separator/>
      </w:r>
    </w:p>
  </w:footnote>
  <w:footnote w:type="continuationSeparator" w:id="0">
    <w:p w14:paraId="63C9AF31" w14:textId="77777777" w:rsidR="00AD7C46" w:rsidRDefault="00AD7C46" w:rsidP="00753C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C34"/>
    <w:rsid w:val="00753C34"/>
    <w:rsid w:val="00AD7C4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055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3C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3C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3C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3C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