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62F3" w14:textId="77777777" w:rsidR="00B41ADC" w:rsidRDefault="00B41ADC">
      <w:r>
        <w:t>學佛答問集</w:t>
      </w:r>
      <w:r>
        <w:t>—</w:t>
      </w:r>
      <w:r>
        <w:t xml:space="preserve">管理人事，心無法清淨，該怎樣面對？　　（第三八六集）　　</w:t>
      </w:r>
      <w:r>
        <w:t>2000/10/19</w:t>
      </w:r>
      <w:r>
        <w:t xml:space="preserve">　　新加坡佛教居士林　　檔名：</w:t>
      </w:r>
      <w:r>
        <w:t xml:space="preserve">29-522-0386 </w:t>
      </w:r>
    </w:p>
    <w:p w14:paraId="3EBACE75" w14:textId="77777777" w:rsidR="00B41ADC" w:rsidRDefault="00B41ADC">
      <w:pPr>
        <w:pStyle w:val="a3"/>
      </w:pPr>
      <w:r>
        <w:t xml:space="preserve">　　問：如果所領的執事需管理人事，而管了之後又會令自己起煩惱，心無法清淨，請問此時該怎樣面對？</w:t>
      </w:r>
      <w:r>
        <w:t xml:space="preserve"> </w:t>
      </w:r>
    </w:p>
    <w:p w14:paraId="1F8F319A" w14:textId="77777777" w:rsidR="00B41ADC" w:rsidRDefault="00B41ADC">
      <w:pPr>
        <w:pStyle w:val="a3"/>
      </w:pPr>
      <w:r>
        <w:t xml:space="preserve">　　答：做事難，做人更難。特別是現代的人，煩惱習氣都很重，我們好心幫助他，往往還引起誤會。何況我們沒有智慧、沒有善巧方便，這些煩惱總是不能避免。古人說「多一事不如少一事，少一事不如無事。」你在你工作裡面，可以跟老闆商量：我不管人事，管別的事情好不好？人事是最難管而且人事最容易得罪人，這裡面要有高度的智慧，就是佛家講的善巧方便。人事裡面最重要的是公平，管人事不能有偏心，偏心就免不了要造罪業。某人對我好一點，我就把好的升遷機會給他；他對我不怎麼好，明明他有升遷機會，我也要障礙他，這就造罪業了。造的這些業不要以為沒有事，這會有果報的。我們自己這一生遇到許多的苦難，這些苦難的原因是什麼？沒有學佛不知道，心裡面會不平；學佛之後知道，這是業因果報。這是我過去生中障礙過他，今天他有這個緣，他來障礙我，業因果報絲毫不爽。學佛之後，對於這些事情心才心平了，看法就不一樣，確實能夠逆來順受，歡喜接受，我們這個結就解開了，這個業就消除了。所以，能生智慧，能生歡喜心，這是佛法對自己在生活裡面的真實利益，否則，在現在這個社會想不開的事情多了，甚至於還有些想不開的人去自殺。自殺能決問題嗎？還是不能解決問題，果報現前的時候還是要受。真正解決</w:t>
      </w:r>
      <w:r>
        <w:t>問題是破迷開悟，覺悟之後問題才真正解決，這是我們應當要曉得。人與人之間最重要的是真誠，我相信學佛了，尤其是讀《華嚴經》，縱然你來辦這些人事問題也會方便很多。　　節錄自：</w:t>
      </w:r>
      <w:r>
        <w:t>21-090-0031</w:t>
      </w:r>
      <w:r>
        <w:t xml:space="preserve">學佛答問　　</w:t>
      </w:r>
    </w:p>
    <w:sectPr w:rsidR="00B41A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72EDD" w14:textId="77777777" w:rsidR="00B41ADC" w:rsidRDefault="00B41ADC" w:rsidP="00E969D1">
      <w:r>
        <w:separator/>
      </w:r>
    </w:p>
  </w:endnote>
  <w:endnote w:type="continuationSeparator" w:id="0">
    <w:p w14:paraId="1C79292C" w14:textId="77777777" w:rsidR="00B41ADC" w:rsidRDefault="00B41ADC" w:rsidP="00E96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59795" w14:textId="77777777" w:rsidR="00B41ADC" w:rsidRDefault="00B41ADC" w:rsidP="00E969D1">
      <w:r>
        <w:separator/>
      </w:r>
    </w:p>
  </w:footnote>
  <w:footnote w:type="continuationSeparator" w:id="0">
    <w:p w14:paraId="05C5887F" w14:textId="77777777" w:rsidR="00B41ADC" w:rsidRDefault="00B41ADC" w:rsidP="00E969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D1"/>
    <w:rsid w:val="00B41ADC"/>
    <w:rsid w:val="00B519F4"/>
    <w:rsid w:val="00E9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E86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69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69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69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69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