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F27A" w14:textId="77777777" w:rsidR="000256E1" w:rsidRDefault="000256E1">
      <w:r>
        <w:t>學佛答問集</w:t>
      </w:r>
      <w:r>
        <w:t>—</w:t>
      </w:r>
      <w:r>
        <w:t xml:space="preserve">密、禪、淨成佛，有什麼不一樣？　　（第四二八集）　　</w:t>
      </w:r>
      <w:r>
        <w:t>2000/10/29</w:t>
      </w:r>
      <w:r>
        <w:t xml:space="preserve">　　新加坡佛教居士林　　檔名：</w:t>
      </w:r>
      <w:r>
        <w:t xml:space="preserve">29-522-0428 </w:t>
      </w:r>
    </w:p>
    <w:p w14:paraId="184F1E85" w14:textId="77777777" w:rsidR="000256E1" w:rsidRDefault="000256E1">
      <w:pPr>
        <w:pStyle w:val="a3"/>
      </w:pPr>
      <w:r>
        <w:t xml:space="preserve">　　問：「密宗即身成佛，禪宗明心見性成佛，淨宗的往生不退成佛，請問有什麼不一樣？」</w:t>
      </w:r>
      <w:r>
        <w:t xml:space="preserve"> </w:t>
      </w:r>
    </w:p>
    <w:p w14:paraId="2E5292E2" w14:textId="77777777" w:rsidR="000256E1" w:rsidRDefault="000256E1">
      <w:pPr>
        <w:pStyle w:val="a3"/>
      </w:pPr>
      <w:r>
        <w:t xml:space="preserve">　　答：完全一樣，只是在修行方法上不一樣，成佛完全一樣。這三種成佛，說實在話，淨宗往生不退成佛是最容易，對我們來講最容易修，其他兩種都很困難。</w:t>
      </w:r>
      <w:r>
        <w:t xml:space="preserve"> </w:t>
      </w:r>
    </w:p>
    <w:p w14:paraId="30D9B547" w14:textId="77777777" w:rsidR="000256E1" w:rsidRDefault="000256E1">
      <w:pPr>
        <w:pStyle w:val="a3"/>
      </w:pPr>
      <w:r>
        <w:t xml:space="preserve">　　密宗即身成佛，往年黃念祖老居士跟我談到這個問題，他說中國從解放之後五十年之中，中國有十三億人，修學密宗成就的只有六個人，他是密宗的金剛上師。往後修密能不能成佛？他告訴我沒有了。我問他：「為什麼沒有？」他說：「現在這個世間已經沒有學密的根性。」這是黃念祖老居士告訴我的，不是我說的。所以他老人家一生也是到處宣揚淨土，勸人持名念佛，他自己往生是念佛往生的，不是念咒往生的。在北京的同修都知道，聽說他在往生之前半年，他念佛念得很勤，每天念十幾萬聲佛號，所以他是念佛往生的，不是持咒往生的。這是做榜樣給我們看，他是密宗金剛上師，不用密法修淨土，他用念佛方法修淨土，這給我們很好的啟示。　　節錄自：</w:t>
      </w:r>
      <w:r>
        <w:t>21-090-0035</w:t>
      </w:r>
      <w:r>
        <w:t xml:space="preserve">學佛答問　　</w:t>
      </w:r>
    </w:p>
    <w:sectPr w:rsidR="000256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A367E" w14:textId="77777777" w:rsidR="000256E1" w:rsidRDefault="000256E1" w:rsidP="009A620E">
      <w:r>
        <w:separator/>
      </w:r>
    </w:p>
  </w:endnote>
  <w:endnote w:type="continuationSeparator" w:id="0">
    <w:p w14:paraId="47568D77" w14:textId="77777777" w:rsidR="000256E1" w:rsidRDefault="000256E1" w:rsidP="009A6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D9A03" w14:textId="77777777" w:rsidR="000256E1" w:rsidRDefault="000256E1" w:rsidP="009A620E">
      <w:r>
        <w:separator/>
      </w:r>
    </w:p>
  </w:footnote>
  <w:footnote w:type="continuationSeparator" w:id="0">
    <w:p w14:paraId="24E60D92" w14:textId="77777777" w:rsidR="000256E1" w:rsidRDefault="000256E1" w:rsidP="009A6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0E"/>
    <w:rsid w:val="000256E1"/>
    <w:rsid w:val="009A62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10BA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62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62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62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62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