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7084" w14:textId="77777777" w:rsidR="00FE60A6" w:rsidRDefault="00FE60A6">
      <w:r>
        <w:t>學佛答問集</w:t>
      </w:r>
      <w:r>
        <w:t>—</w:t>
      </w:r>
      <w:r>
        <w:t xml:space="preserve">年少犯錯常憂懼交加，念佛難入心，是否著魔？　　（第五五六集）　　</w:t>
      </w:r>
      <w:r>
        <w:t>2000/12/28</w:t>
      </w:r>
      <w:r>
        <w:t xml:space="preserve">　　新加坡佛教居士林　　檔名：</w:t>
      </w:r>
      <w:r>
        <w:t xml:space="preserve">29-522-0556 </w:t>
      </w:r>
    </w:p>
    <w:p w14:paraId="1A564E6C" w14:textId="77777777" w:rsidR="00FE60A6" w:rsidRDefault="00FE60A6">
      <w:pPr>
        <w:pStyle w:val="a3"/>
      </w:pPr>
      <w:r>
        <w:t xml:space="preserve">　　問：「有一位親戚，年輕的時候曾經做過一樁見不得人的事，曾為此尋死但未遂。學佛後稍好些，但仍是疑神疑鬼，心裡上下不安，總覺得別人在背後指指點點，羞愧難當，不敢見人，工作也辭了。想到這件事，念佛也念不進去，生活很壓抑。請問是否著魔，又應如何處理？」</w:t>
      </w:r>
      <w:r>
        <w:t xml:space="preserve"> </w:t>
      </w:r>
    </w:p>
    <w:p w14:paraId="7C0B503C" w14:textId="77777777" w:rsidR="00FE60A6" w:rsidRDefault="00FE60A6">
      <w:pPr>
        <w:pStyle w:val="a3"/>
      </w:pPr>
      <w:r>
        <w:t xml:space="preserve">　　答：根據你的說法，這確實是魔障，必須有善知識為他開導，把他的情結解開。在外國遇到這種事情，有心理醫生的治療，而在美國，這種事情是用催眠術，確實能夠把癥結解開。人有過去世，過去今生我們遇到的緣不一樣，如果將前後的這些事實都搞清楚、搞明白，這個情結就能夠化解。佛法當然比這些心理醫生更高明，所說的更透徹，但是遇不到善知識，這就比較困難了。</w:t>
      </w:r>
      <w:r>
        <w:t xml:space="preserve"> </w:t>
      </w:r>
    </w:p>
    <w:p w14:paraId="5912072E" w14:textId="77777777" w:rsidR="00FE60A6" w:rsidRDefault="00FE60A6">
      <w:pPr>
        <w:pStyle w:val="a3"/>
      </w:pPr>
      <w:r>
        <w:t xml:space="preserve">　　佛法極重的罪業，五逆十惡都可以懺悔。我們在《觀無量壽佛經》看到，經典裡面講的阿闍世王殺父親、害母親，跟提婆達多合作，破壞僧團，五逆十惡罪都造全了。提婆達多生身墮阿鼻地獄，阿闍世王臨命終時至心懺悔，念佛求生淨土，結果他往生了，不但往生，品位很高，他是上品中生，這是出乎我們意料之外。我們通過這樣的學習，才真正了解懺悔的功德不可思議。所以我們對於造作一些罪業的人，甚至於罪業深重的人，決定不敢輕視。為什麼？說不定他臨終懺悔，念佛往生，品位在我們之上，這是非常有可能，我們一定要懂得。　　節錄自：</w:t>
      </w:r>
      <w:r>
        <w:t>21-090-0047</w:t>
      </w:r>
      <w:r>
        <w:t xml:space="preserve">學佛答問　　</w:t>
      </w:r>
    </w:p>
    <w:sectPr w:rsidR="00FE60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01A19" w14:textId="77777777" w:rsidR="00FE60A6" w:rsidRDefault="00FE60A6" w:rsidP="00137882">
      <w:r>
        <w:separator/>
      </w:r>
    </w:p>
  </w:endnote>
  <w:endnote w:type="continuationSeparator" w:id="0">
    <w:p w14:paraId="344D447A" w14:textId="77777777" w:rsidR="00FE60A6" w:rsidRDefault="00FE60A6" w:rsidP="0013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AFC71" w14:textId="77777777" w:rsidR="00FE60A6" w:rsidRDefault="00FE60A6" w:rsidP="00137882">
      <w:r>
        <w:separator/>
      </w:r>
    </w:p>
  </w:footnote>
  <w:footnote w:type="continuationSeparator" w:id="0">
    <w:p w14:paraId="5F1319CA" w14:textId="77777777" w:rsidR="00FE60A6" w:rsidRDefault="00FE60A6" w:rsidP="00137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82"/>
    <w:rsid w:val="00137882"/>
    <w:rsid w:val="00B519F4"/>
    <w:rsid w:val="00FE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B06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8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8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8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8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