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36B3" w14:textId="77777777" w:rsidR="00421F92" w:rsidRDefault="00421F92">
      <w:r>
        <w:t>學佛答問集</w:t>
      </w:r>
      <w:r>
        <w:t>—</w:t>
      </w:r>
      <w:r>
        <w:t xml:space="preserve">病者臨終厭惡佛號，可否念其他經典？　　（第六七五集）　　</w:t>
      </w:r>
      <w:r>
        <w:t>2001/2/13</w:t>
      </w:r>
      <w:r>
        <w:t xml:space="preserve">　　新加坡佛教居士林　　檔名：</w:t>
      </w:r>
      <w:r>
        <w:t xml:space="preserve">29-522-0675 </w:t>
      </w:r>
    </w:p>
    <w:p w14:paraId="46CA1FBF" w14:textId="77777777" w:rsidR="00421F92" w:rsidRDefault="00421F92">
      <w:pPr>
        <w:pStyle w:val="a3"/>
      </w:pPr>
      <w:r>
        <w:t xml:space="preserve">　　問：「《怎樣念佛往生不退成佛》這本書裡面，提到一位病者臨終厭惡聽聞佛號，助念團就改念幾卷《地藏經》替他懺悔，之後這個病者就歡喜聽佛號了。請問如以上狀況出現時，可否念其他經典，如《心經》、《普門品》等，還是只念《地藏經》才有效果，原因何在？」</w:t>
      </w:r>
      <w:r>
        <w:t xml:space="preserve"> </w:t>
      </w:r>
    </w:p>
    <w:p w14:paraId="5330B2C0" w14:textId="77777777" w:rsidR="00421F92" w:rsidRDefault="00421F92">
      <w:pPr>
        <w:pStyle w:val="a3"/>
      </w:pPr>
      <w:r>
        <w:t xml:space="preserve">　　答：世尊雖然說到「法門平等，無有高下」，可是眾生的根性並不相同，尤其是無始劫以來業障習氣差別很大。遇到這種情形，很顯然的這是魔障現前，也就是一般所說的冤親債主來障礙，使你聽了佛號就生厭煩心。解冤釋結，一般講起來《地藏經》確實很有效，為什麼？應機。《普門品》好不好？《普門品》也好。但是我們知道，世尊滅度之後，佛法住持在世間，這樁大事世尊確實是委託給地藏菩薩。換句話說，佛不在世，地藏菩薩是代理佛，他的身分跟其他諸菩薩不相同。我們在《地藏菩薩本願經》序分裡面看到它的殊勝莊嚴，不可思議，諸位想想，釋迦牟尼佛一生講經說法，哪個法會聽眾都是諸佛如來？沒有過，《華嚴經》也沒有這麼殊勝。唯獨講《地藏經》，十方諸佛如來都來做聽眾，你就曉得這個莊嚴是希有的，這部經典的功效當然也是希有。所以一般都念《地藏經》，產生不思議的效果，這是有道理的。如果念其他經也有效果，這是與他有緣。念《普門品》，觀世音與我們這個世間也有特別的因緣，你不念《地藏經》念《普門品》，我相信也是一樣。</w:t>
      </w:r>
      <w:r>
        <w:t xml:space="preserve"> </w:t>
      </w:r>
    </w:p>
    <w:p w14:paraId="0E464612" w14:textId="77777777" w:rsidR="00421F92" w:rsidRDefault="00421F92">
      <w:pPr>
        <w:pStyle w:val="a3"/>
      </w:pPr>
      <w:r>
        <w:t xml:space="preserve">　　至於感應，那就是《了凡四訓》裡面雲谷禪師所說的話，他說畫符的專家講，不會畫符被鬼神笑，畫符跟念咒有異曲同功的效果。其實念經也一樣，怎樣才有感應？真誠心，沒有一個雜念，這個經咒就有效果。如果一面念經一面打妄想，就沒有效果，那就是所謂的「口念彌陀心散亂，喊破喉嚨也枉然」。所以念經要訓練，訓練什麼？訓練把妄想止住。《地藏經》相當長，念得很熟念一遍也要一個多小時，一個多小時當中不起一個妄念，這個功德相當殊勝，所以才能有感通。假如妄念很多，沒有辦法攝心，改念《彌陀經》、念往生咒都可以。為什麼？這個經咒短，攝心比較容易。總而言之，散亂心決定沒有感應，一心才有感應。</w:t>
      </w:r>
      <w:r>
        <w:t xml:space="preserve"> </w:t>
      </w:r>
    </w:p>
    <w:p w14:paraId="38FADD9B" w14:textId="77777777" w:rsidR="00421F92" w:rsidRDefault="00421F92">
      <w:pPr>
        <w:pStyle w:val="a3"/>
      </w:pPr>
      <w:r>
        <w:t xml:space="preserve">　　在日常生活當中，我們真正祈求煩惱輕、智慧長，我相信每一個同修都有這個願望，為什麼求不到？心散亂。真正用功的人，二六時中心都是清淨的，或是念佛、或是持咒、或是參究，不論用什麼方式，目的是保持清淨心。清淨心能生智慧，清淨心魔不得其便，我們每一個人無量劫來冤親債主不知道有多少，你要想認真修行，說魔不來擾亂，沒有這個道理。釋迦佛示現成道還要降魔，魔還來干擾，所以這一關一定要通過。</w:t>
      </w:r>
      <w:r>
        <w:t xml:space="preserve"> </w:t>
      </w:r>
    </w:p>
    <w:p w14:paraId="0B145E93" w14:textId="77777777" w:rsidR="00421F92" w:rsidRDefault="00421F92">
      <w:pPr>
        <w:pStyle w:val="a3"/>
      </w:pPr>
      <w:r>
        <w:t xml:space="preserve">　　用什麼方法平平安安度過？真誠心，不為自己，為度眾生。我修行為度眾生，我學教為度眾生，我念佛為度眾生，乃至於我生活也是為度眾生，活在這個世間也是為度眾生，魔就不得其便。你有一念私心，你對世間的塵欲還沒有斷掉，魔就得其便，魔來擾亂。世尊用什麼降魔？無非是用戒定慧。戒定慧，這是什麼樣的魔都沾不上邊。所以佛子心裡頭常住戒定慧，魔就不得其便，我們自己道業容易成就；成就道業之後，回過頭來，也度這些邪魔冤親債主，他都是我們幫助的對象，是我們度脫的對象，諸位要懂這個道理。</w:t>
      </w:r>
      <w:r>
        <w:t xml:space="preserve"> </w:t>
      </w:r>
    </w:p>
    <w:p w14:paraId="277CEA05" w14:textId="77777777" w:rsidR="00421F92" w:rsidRDefault="00421F92">
      <w:pPr>
        <w:pStyle w:val="a3"/>
      </w:pPr>
      <w:r>
        <w:lastRenderedPageBreak/>
        <w:t xml:space="preserve">　　念《地藏經》有好處，《地藏經》是佛門的孝經，是佛法的根本。念《地藏經》又能夠行地藏行，那個效果就無比的殊勝。　　節錄自：</w:t>
      </w:r>
      <w:r>
        <w:t>21-090-0057</w:t>
      </w:r>
      <w:r>
        <w:t xml:space="preserve">學佛答問　　</w:t>
      </w:r>
    </w:p>
    <w:sectPr w:rsidR="00421F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DDEAC" w14:textId="77777777" w:rsidR="00421F92" w:rsidRDefault="00421F92" w:rsidP="007E37C3">
      <w:r>
        <w:separator/>
      </w:r>
    </w:p>
  </w:endnote>
  <w:endnote w:type="continuationSeparator" w:id="0">
    <w:p w14:paraId="3B4FA878" w14:textId="77777777" w:rsidR="00421F92" w:rsidRDefault="00421F92" w:rsidP="007E3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B261" w14:textId="77777777" w:rsidR="00421F92" w:rsidRDefault="00421F92" w:rsidP="007E37C3">
      <w:r>
        <w:separator/>
      </w:r>
    </w:p>
  </w:footnote>
  <w:footnote w:type="continuationSeparator" w:id="0">
    <w:p w14:paraId="4E56CA41" w14:textId="77777777" w:rsidR="00421F92" w:rsidRDefault="00421F92" w:rsidP="007E37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C3"/>
    <w:rsid w:val="00421F92"/>
    <w:rsid w:val="007E37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A2D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7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7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7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7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