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246C" w14:textId="77777777" w:rsidR="00891167" w:rsidRDefault="00891167">
      <w:r>
        <w:t>學佛答問集</w:t>
      </w:r>
      <w:r>
        <w:t>—</w:t>
      </w:r>
      <w:r>
        <w:t xml:space="preserve">病者昏迷及家人不信佛，怎麼助念和開示？　　（第六七六集）　　</w:t>
      </w:r>
      <w:r>
        <w:t>2001/2/13</w:t>
      </w:r>
      <w:r>
        <w:t xml:space="preserve">　　新加坡佛教居士林　　檔名：</w:t>
      </w:r>
      <w:r>
        <w:t xml:space="preserve">29-522-0676 </w:t>
      </w:r>
    </w:p>
    <w:p w14:paraId="47FF0A6B" w14:textId="77777777" w:rsidR="00891167" w:rsidRDefault="00891167">
      <w:pPr>
        <w:pStyle w:val="a3"/>
      </w:pPr>
      <w:r>
        <w:t xml:space="preserve">　　問：「如果家屬之中，有人病至昏迷狀態，但又不能用佛號助念，因病者及家人都不信佛，請問我們應怎麼做？可否在病者面前念《地藏經》給他聽，昏迷者是否聽見我們念經？又念經之前要對病者怎樣開示？」</w:t>
      </w:r>
      <w:r>
        <w:t xml:space="preserve"> </w:t>
      </w:r>
    </w:p>
    <w:p w14:paraId="1E3F73C7" w14:textId="77777777" w:rsidR="00891167" w:rsidRDefault="00891167">
      <w:pPr>
        <w:pStyle w:val="a3"/>
      </w:pPr>
      <w:r>
        <w:t xml:space="preserve">　　答：你的問話有矛盾。你說「病者的家屬都不信佛」，他都不信佛，你念《地藏經》他怎麼會相信？家屬都不信佛，這個事情麻煩！你要說是他不相信淨土，他還相信別的法門，行，他相信哪個法門就用哪個法門的儀規與經論都好。</w:t>
      </w:r>
      <w:r>
        <w:t xml:space="preserve"> </w:t>
      </w:r>
    </w:p>
    <w:p w14:paraId="03496905" w14:textId="77777777" w:rsidR="00891167" w:rsidRDefault="00891167">
      <w:pPr>
        <w:pStyle w:val="a3"/>
      </w:pPr>
      <w:r>
        <w:t xml:space="preserve">　　當然，對於一生中沒有接觸過佛法的人，臨命終時有時候勸他，跟他講西方極樂世界的依正莊嚴，這個時候往往，他聽到生歡喜心。往年我們在美國華府，有一位居士就是在臨終時候才聞到佛法，他往生了。臨終一念、十念都能往生，這是殊勝因緣觸動他過去生中的善根，所以他在很短的時間，兩、三天裡面，他能夠功夫不間斷，一樣有成就，這個我們在四十八願的第十八願裡面都看到。</w:t>
      </w:r>
      <w:r>
        <w:t xml:space="preserve"> </w:t>
      </w:r>
    </w:p>
    <w:p w14:paraId="324EA27C" w14:textId="77777777" w:rsidR="00891167" w:rsidRDefault="00891167">
      <w:pPr>
        <w:pStyle w:val="a3"/>
      </w:pPr>
      <w:r>
        <w:t xml:space="preserve">　　臨終的人對他開示，最重要的是勸導他放下世緣，放下所有一切的牽掛。一般人在臨終的時候，總對於自己的家業、對於自己的家親眷屬放不下，這是很大的障礙。這個時候最重要的就是勸他萬緣放下，一心向佛，隨著佛去往生，這是最上乘的。臨終的開示，《地藏經》上有榜樣，告訴他，把他自己心愛的寶物或他最喜歡的東西，將它變賣，為他修福。修福裡面最殊勝的是供養三寶，供養三寶的方法：「塑造佛像」，如果財力並不是那麼多，現在可以印佛像，我們結緣裡面彩色的畫像，這是供養佛寶；「印送經書」，現在還包括錄像帶、錄音帶、光碟，這是供養法寶；「布施出家人」，這是供養僧寶。把他的積蓄與心愛的東西變賣來供養三寶，以這個功德迴向給他。告訴他，讓他聽到，他自己明白，這都是身外之物，帶不走的，供養的功德他可以帶走，這樣使他沒有憂慮牽掛。</w:t>
      </w:r>
      <w:r>
        <w:t xml:space="preserve"> </w:t>
      </w:r>
    </w:p>
    <w:p w14:paraId="0DBC3556" w14:textId="77777777" w:rsidR="00891167" w:rsidRDefault="00891167">
      <w:pPr>
        <w:pStyle w:val="a3"/>
      </w:pPr>
      <w:r>
        <w:t xml:space="preserve">　　如果他的財富很多，就可以修大供養，古人把自己的住宅布施做為道場，這個功德就更大了。過去我們到南京參觀金陵刻經處，金陵刻經處是楊仁山居士的住宅，是他的家，他往生之後就把這個家捐獻出來做為刻經處，這是供養三寶。這是有財富、有力量的人，這種作法殊勝！他懂得，他是行家、佛學家，他懂得，這種作法是財施、法施、無畏施統統具足，「一切供養中，法供養為最」，他把它捐出來做刻經處。我們去參觀過，這些都是我們最好的榜樣。楊仁山居士是念佛往生的，他要是不念佛、不求往生，這一個功德也一定到天上去享天福了，他的福報不在人間。</w:t>
      </w:r>
      <w:r>
        <w:t xml:space="preserve"> </w:t>
      </w:r>
    </w:p>
    <w:p w14:paraId="0856D6E6" w14:textId="77777777" w:rsidR="00891167" w:rsidRDefault="00891167">
      <w:pPr>
        <w:pStyle w:val="a3"/>
      </w:pPr>
      <w:r>
        <w:t xml:space="preserve">　　這些例子我們得多想想，多為病人開導。這個時候不能說囉嗦話，不能跟他講經說法，在那時候時間來不及了，勸他放下萬緣。特別是他跟你說出，看到什麼人在哪裡或什麼人在門口，所說的都是他已經過世的的親朋好友。我們在病重的時候常常看到這個情形，《地藏經》說：「這是不是他的家親眷屬？」不是的，是冤親債主變成他家親眷屬的模樣來誘惑他，來引他去，引他走之後，就跟他算帳了。這是非常危險的關頭，這叫「魔境現前」，要特別提醒他：「不要理他！」就是這一句話。他要是說「我看見這個人，看見那個人」，大聲提醒他：「不要理他！不要管他！老實念佛，佛來了才可以跟他去！不是佛，誰都不要去理他！」就這一句提醒他就好，這比什麼都重要。　　節錄自：</w:t>
      </w:r>
      <w:r>
        <w:t>21-090-0057</w:t>
      </w:r>
      <w:r>
        <w:t xml:space="preserve">學佛答問　　</w:t>
      </w:r>
    </w:p>
    <w:sectPr w:rsidR="008911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AB432" w14:textId="77777777" w:rsidR="00891167" w:rsidRDefault="00891167" w:rsidP="00664CE7">
      <w:r>
        <w:separator/>
      </w:r>
    </w:p>
  </w:endnote>
  <w:endnote w:type="continuationSeparator" w:id="0">
    <w:p w14:paraId="3F822F49" w14:textId="77777777" w:rsidR="00891167" w:rsidRDefault="00891167" w:rsidP="00664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39081" w14:textId="77777777" w:rsidR="00891167" w:rsidRDefault="00891167" w:rsidP="00664CE7">
      <w:r>
        <w:separator/>
      </w:r>
    </w:p>
  </w:footnote>
  <w:footnote w:type="continuationSeparator" w:id="0">
    <w:p w14:paraId="7323D03A" w14:textId="77777777" w:rsidR="00891167" w:rsidRDefault="00891167" w:rsidP="00664C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E7"/>
    <w:rsid w:val="00664CE7"/>
    <w:rsid w:val="0089116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172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C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C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C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C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