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6DB8" w14:textId="77777777" w:rsidR="001C36A3" w:rsidRDefault="001C36A3">
      <w:r>
        <w:t>學佛答問集</w:t>
      </w:r>
      <w:r>
        <w:t>—</w:t>
      </w:r>
      <w:r>
        <w:t xml:space="preserve">陰供與《太上感應篇》的「散棄五穀」是否牴觸？　　（第七七五集）　　</w:t>
      </w:r>
      <w:r>
        <w:t>2001/3/28</w:t>
      </w:r>
      <w:r>
        <w:t xml:space="preserve">　　新加坡佛教居士林　　檔名：</w:t>
      </w:r>
      <w:r>
        <w:t xml:space="preserve">29-522-0775 </w:t>
      </w:r>
    </w:p>
    <w:p w14:paraId="5DD6EB28" w14:textId="77777777" w:rsidR="001C36A3" w:rsidRDefault="001C36A3">
      <w:pPr>
        <w:pStyle w:val="a3"/>
      </w:pPr>
      <w:r>
        <w:t xml:space="preserve">　　問：「在台灣有些淨宗道場，法師是專修淨土念佛法門，專弘《無量壽經》。法師常用火把食物燃燒所產生的煙，來供養六道眾生，稱為『陰供』，並且教導信眾在家裡也如此做。請問這與《太上感應篇》中的『散棄五穀』是否有牴觸？」</w:t>
      </w:r>
      <w:r>
        <w:t xml:space="preserve"> </w:t>
      </w:r>
    </w:p>
    <w:p w14:paraId="19085587" w14:textId="77777777" w:rsidR="001C36A3" w:rsidRDefault="001C36A3">
      <w:pPr>
        <w:pStyle w:val="a3"/>
      </w:pPr>
      <w:r>
        <w:t xml:space="preserve">　　答：好像是有牴觸。我們學佛最重要的，你選擇哪一個法門就依照這個法門去修學，不必把其他法門摻雜在自己的法門裡面。我們知道密宗裡頭有「火供」，「陰供」我還沒聽說過，不知是哪個宗派所修的。我們修淨宗，淨宗的經論少，到現在充其量也就是五經一論；五經理論裡面都沒有這種方法，我們就可以不用這種方法修。所以諸位要想成就，要記住「一門深入」。就是淨宗來說，我選擇哪一部經做為修行依據，我就照這一部經就能成就。</w:t>
      </w:r>
      <w:r>
        <w:t xml:space="preserve"> </w:t>
      </w:r>
    </w:p>
    <w:p w14:paraId="6FC5D729" w14:textId="77777777" w:rsidR="001C36A3" w:rsidRDefault="001C36A3">
      <w:pPr>
        <w:pStyle w:val="a3"/>
      </w:pPr>
      <w:r>
        <w:t xml:space="preserve">　　我們看到《往生傳》裡面許許多多念佛人，他們老老實實就念一句阿彌陀佛。最明顯的例子，諦閑法師的弟子鍋漏匠，沒有聽說他有這樣供佛，人家往生走的時候站著往生；還有，我們在書上看到哈爾濱「極樂寺」修無法師，他們都是不認識字的人，沒有出家之前是作泥水匠，出家之後在寺院裡做苦行，也就是一句阿彌陀佛，往生那麼自在。所以像這些，不要說看到人家怎麼做，我們就要來學；他這種作法是正確的、是錯誤的，自己都不知道，這叫迷信。我們要依照《無量壽經》，《無量壽經》上有的我們就做，沒有的就不做；如果依照《彌陀經》，《彌陀經》上教我們怎麼做，我們就怎麼做。不必拿其他經論東西來修，這個樣子你就修雜了，你的清淨心就很不容易得到，這個原理原則我們要曉得。　　節錄自：</w:t>
      </w:r>
      <w:r>
        <w:t>21-090-0069</w:t>
      </w:r>
      <w:r>
        <w:t xml:space="preserve">學佛答問　　</w:t>
      </w:r>
    </w:p>
    <w:sectPr w:rsidR="001C36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163F" w14:textId="77777777" w:rsidR="001C36A3" w:rsidRDefault="001C36A3" w:rsidP="00412859">
      <w:r>
        <w:separator/>
      </w:r>
    </w:p>
  </w:endnote>
  <w:endnote w:type="continuationSeparator" w:id="0">
    <w:p w14:paraId="61FD1242" w14:textId="77777777" w:rsidR="001C36A3" w:rsidRDefault="001C36A3" w:rsidP="00412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AFCBC" w14:textId="77777777" w:rsidR="001C36A3" w:rsidRDefault="001C36A3" w:rsidP="00412859">
      <w:r>
        <w:separator/>
      </w:r>
    </w:p>
  </w:footnote>
  <w:footnote w:type="continuationSeparator" w:id="0">
    <w:p w14:paraId="69E8FF6E" w14:textId="77777777" w:rsidR="001C36A3" w:rsidRDefault="001C36A3" w:rsidP="00412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59"/>
    <w:rsid w:val="001C36A3"/>
    <w:rsid w:val="004128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61D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