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D511" w14:textId="77777777" w:rsidR="00710DBD" w:rsidRDefault="00710DBD">
      <w:r>
        <w:t>學佛答問集</w:t>
      </w:r>
      <w:r>
        <w:t>—</w:t>
      </w:r>
      <w:r>
        <w:t xml:space="preserve">讀《楞嚴經》不明白，湛然真性是否是佛性？　　（第八八二集）　　</w:t>
      </w:r>
      <w:r>
        <w:t>2001/5/10</w:t>
      </w:r>
      <w:r>
        <w:t xml:space="preserve">　　新加坡佛教居士林　　檔名：</w:t>
      </w:r>
      <w:r>
        <w:t xml:space="preserve">29-522-0882 </w:t>
      </w:r>
    </w:p>
    <w:p w14:paraId="2991BE2D" w14:textId="77777777" w:rsidR="00710DBD" w:rsidRDefault="00710DBD">
      <w:pPr>
        <w:pStyle w:val="a3"/>
      </w:pPr>
      <w:r>
        <w:t xml:space="preserve">　　問：「晚輩是李宏延，已經皈依，特別愛看理論性的佛經，尤其是《楞嚴經》。但其中有一部分內容始終弄不明白，即是富樓那問佛：『若此妙覺本妙覺明，與如來心不增不減，無狀忽生山河大地諸有為相』（這是《楞嚴經》上一段經文）。我理解的，『若此妙覺本妙覺明與如來心不增不減』，這一段即是說妙覺就是如來，後面跟的就是如來，『無狀忽生山河大地』，這涉及世界最初起源。最初的湛然真性是否是佛性，如果不是，那是什麼？如果是，豈不是有佛無狀而生山河大地？修成佛豈不又有無明產生？經文中解釋『又如金礦雜於精金，其金一純，更不成雜』，問題說金礦雜於精金，不能同『若此妙覺本妙覺明與如來心不增不減』比較，金礦雜於精金已經不明了，非為妙覺覺明如來心。希望法師能予指教。」</w:t>
      </w:r>
      <w:r>
        <w:t xml:space="preserve"> </w:t>
      </w:r>
    </w:p>
    <w:p w14:paraId="57398562" w14:textId="77777777" w:rsidR="00710DBD" w:rsidRDefault="00710DBD">
      <w:pPr>
        <w:pStyle w:val="a3"/>
      </w:pPr>
      <w:r>
        <w:t xml:space="preserve">　　答：這個問題也不是幾句話能講得清楚，你可以詳細去讀第四卷；這段經文都是富樓那提出來，釋迦牟尼佛跟他解答的。經文要念不懂，你詳細去研究註解。《楞嚴經》的註解幾乎將近一百種，其中最著名的，古時候註解的代表是宋朝《長水疏》，經註的代表作是明朝《楞嚴經正脈疏》。這些是古人著述，也許在文字上還是比較難懂，近人註得最淺顯的是圓瑛法師的《楞嚴經講義》。近代人對《楞嚴經》的著述也有十幾種，是以圓瑛法師《講義》比較通俗，《楞嚴直解》比較扼要，這些著述都可以做參考。　　節錄自：</w:t>
      </w:r>
      <w:r>
        <w:t>21-090-0077</w:t>
      </w:r>
      <w:r>
        <w:t xml:space="preserve">學佛答問　　</w:t>
      </w:r>
    </w:p>
    <w:sectPr w:rsidR="00710D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1A5E" w14:textId="77777777" w:rsidR="00710DBD" w:rsidRDefault="00710DBD" w:rsidP="00F67765">
      <w:r>
        <w:separator/>
      </w:r>
    </w:p>
  </w:endnote>
  <w:endnote w:type="continuationSeparator" w:id="0">
    <w:p w14:paraId="6AAAA172" w14:textId="77777777" w:rsidR="00710DBD" w:rsidRDefault="00710DBD" w:rsidP="00F67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4BD75" w14:textId="77777777" w:rsidR="00710DBD" w:rsidRDefault="00710DBD" w:rsidP="00F67765">
      <w:r>
        <w:separator/>
      </w:r>
    </w:p>
  </w:footnote>
  <w:footnote w:type="continuationSeparator" w:id="0">
    <w:p w14:paraId="42C11132" w14:textId="77777777" w:rsidR="00710DBD" w:rsidRDefault="00710DBD" w:rsidP="00F67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65"/>
    <w:rsid w:val="00710DBD"/>
    <w:rsid w:val="00B519F4"/>
    <w:rsid w:val="00F6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6B8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7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7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7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7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