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B0EE" w14:textId="77777777" w:rsidR="00D82168" w:rsidRDefault="00D82168">
      <w:r>
        <w:t>學佛答問集</w:t>
      </w:r>
      <w:r>
        <w:t>—</w:t>
      </w:r>
      <w:r>
        <w:t xml:space="preserve">聽講經跟看註解有什麼分別？　　（第八八七集）　　</w:t>
      </w:r>
      <w:r>
        <w:t>2001/5/11</w:t>
      </w:r>
      <w:r>
        <w:t xml:space="preserve">　　新加坡佛教居士林　　檔名：</w:t>
      </w:r>
      <w:r>
        <w:t xml:space="preserve">29-522-0887 </w:t>
      </w:r>
    </w:p>
    <w:p w14:paraId="720189E0" w14:textId="77777777" w:rsidR="00D82168" w:rsidRDefault="00D82168">
      <w:pPr>
        <w:pStyle w:val="a3"/>
      </w:pPr>
      <w:r>
        <w:t xml:space="preserve">　　問：「弟子請師父慈悲開示。師父在《無量壽經》講修學從讀經下手，讀到心清淨有悟處才看註解，心不清淨看註解會看錯意思。弟子常聽師父講《無量壽經》，跟看註解有什麼分別？」</w:t>
      </w:r>
      <w:r>
        <w:t xml:space="preserve"> </w:t>
      </w:r>
    </w:p>
    <w:p w14:paraId="40135A66" w14:textId="77777777" w:rsidR="00D82168" w:rsidRDefault="00D82168">
      <w:pPr>
        <w:pStyle w:val="a3"/>
      </w:pPr>
      <w:r>
        <w:t xml:space="preserve">　　答：聽經跟看註解有分別。聽經，特別是現場，現場可以說是精神灌注在當中，有一種攝受力，比較容易能夠體會經的教義。平常自己看註解，也不是不能看，我們初學的人要以讀經為主，看註解為輔助，所以說是正助雙修。若自己有悟處，那個情形就不一樣，註解是給你做參考，自己沒有悟處，往往就被註解轉了，就跟著它走。我們知道，一部經註解的人很多，到底你跟哪一個走？他是不是完全正確，是不是有誤導，這都很難講。即使古大德註解裡面，也都有這種情形。所以，能有悟處是最好的。</w:t>
      </w:r>
      <w:r>
        <w:t xml:space="preserve"> </w:t>
      </w:r>
    </w:p>
    <w:p w14:paraId="417FD6FE" w14:textId="77777777" w:rsidR="00D82168" w:rsidRDefault="00D82168">
      <w:pPr>
        <w:pStyle w:val="a3"/>
      </w:pPr>
      <w:r>
        <w:t xml:space="preserve">　　沒有悟處學講經，我們沒開悟學講經一定要依靠古人的註解，這個方法就是依一家之言。我們講錯了，他負責任；我們沒講錯，我們講他的，他註錯了，所以他有責任。我們完全依靠他，這是初學講經不得已的辦法。古人講經不如此，古人是悟後才會講經，沒有開悟決定不可能出來講經，也不可能著作。但是現在我們等開悟之後再講經，恐怕這個世界上沒有人講經，這是不得已而求其次。從前李炳南老居士教導我們，講經現在要守這個原則，我們不是講經，是講古人的註解，一定要辨別清楚。　　節錄自：</w:t>
      </w:r>
      <w:r>
        <w:t>21-090-0078</w:t>
      </w:r>
      <w:r>
        <w:t xml:space="preserve">學佛答問　　</w:t>
      </w:r>
    </w:p>
    <w:sectPr w:rsidR="00D82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502CF" w14:textId="77777777" w:rsidR="00D82168" w:rsidRDefault="00D82168" w:rsidP="00FA79D9">
      <w:r>
        <w:separator/>
      </w:r>
    </w:p>
  </w:endnote>
  <w:endnote w:type="continuationSeparator" w:id="0">
    <w:p w14:paraId="132168D6" w14:textId="77777777" w:rsidR="00D82168" w:rsidRDefault="00D82168" w:rsidP="00FA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BAC78" w14:textId="77777777" w:rsidR="00D82168" w:rsidRDefault="00D82168" w:rsidP="00FA79D9">
      <w:r>
        <w:separator/>
      </w:r>
    </w:p>
  </w:footnote>
  <w:footnote w:type="continuationSeparator" w:id="0">
    <w:p w14:paraId="74CE3D4D" w14:textId="77777777" w:rsidR="00D82168" w:rsidRDefault="00D82168" w:rsidP="00FA79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D9"/>
    <w:rsid w:val="00B519F4"/>
    <w:rsid w:val="00D82168"/>
    <w:rsid w:val="00FA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CE9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9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9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9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9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