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F952" w14:textId="77777777" w:rsidR="00B067C4" w:rsidRDefault="00B067C4">
      <w:r>
        <w:t>學佛答問集</w:t>
      </w:r>
      <w:r>
        <w:t>—</w:t>
      </w:r>
      <w:r>
        <w:t xml:space="preserve">沒受菩薩戒，能不能講法語？　　（第八九一集）　　</w:t>
      </w:r>
      <w:r>
        <w:t>2001/5/11</w:t>
      </w:r>
      <w:r>
        <w:t xml:space="preserve">　　新加坡佛教居士林　　檔名：</w:t>
      </w:r>
      <w:r>
        <w:t xml:space="preserve">29-522-0891 </w:t>
      </w:r>
    </w:p>
    <w:p w14:paraId="7A0B7808" w14:textId="77777777" w:rsidR="00B067C4" w:rsidRDefault="00B067C4">
      <w:pPr>
        <w:pStyle w:val="a3"/>
      </w:pPr>
      <w:r>
        <w:t xml:space="preserve">　　問：「家庭自發組織的念佛堂及家裡的供佛處，請問能否放淨老的法相？」</w:t>
      </w:r>
      <w:r>
        <w:t xml:space="preserve"> </w:t>
      </w:r>
    </w:p>
    <w:p w14:paraId="2508C26C" w14:textId="77777777" w:rsidR="00B067C4" w:rsidRDefault="00B067C4">
      <w:pPr>
        <w:pStyle w:val="a3"/>
      </w:pPr>
      <w:r>
        <w:t xml:space="preserve">　　答：這個無所謂。像一般我們念佛堂裡面，對我們景仰的老師，我們都供養他的法相，這很平常。</w:t>
      </w:r>
      <w:r>
        <w:t xml:space="preserve"> </w:t>
      </w:r>
    </w:p>
    <w:p w14:paraId="5C1768D9" w14:textId="77777777" w:rsidR="00B067C4" w:rsidRDefault="00B067C4">
      <w:pPr>
        <w:pStyle w:val="a3"/>
      </w:pPr>
      <w:r>
        <w:t xml:space="preserve">　　第五：「沒有受菩薩戒的人，請問能不能講《淨師法語》，如法不如法？」</w:t>
      </w:r>
      <w:r>
        <w:t xml:space="preserve"> </w:t>
      </w:r>
    </w:p>
    <w:p w14:paraId="091E2ED8" w14:textId="77777777" w:rsidR="00B067C4" w:rsidRDefault="00B067C4">
      <w:pPr>
        <w:pStyle w:val="a3"/>
      </w:pPr>
      <w:r>
        <w:t xml:space="preserve">　　答：這個可以。沒有受菩薩戒，你不是講經，通常講一般開示可以。講經，你因為要搭衣，要升座，一定要受菩薩戒，不受菩薩戒不可以搭衣。　　節錄自：</w:t>
      </w:r>
      <w:r>
        <w:t>21-090-0078</w:t>
      </w:r>
      <w:r>
        <w:t xml:space="preserve">學佛答問　　</w:t>
      </w:r>
    </w:p>
    <w:sectPr w:rsidR="00B067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07A08" w14:textId="77777777" w:rsidR="00B067C4" w:rsidRDefault="00B067C4" w:rsidP="003B5DF1">
      <w:r>
        <w:separator/>
      </w:r>
    </w:p>
  </w:endnote>
  <w:endnote w:type="continuationSeparator" w:id="0">
    <w:p w14:paraId="4B38C5AC" w14:textId="77777777" w:rsidR="00B067C4" w:rsidRDefault="00B067C4" w:rsidP="003B5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DA7B0" w14:textId="77777777" w:rsidR="00B067C4" w:rsidRDefault="00B067C4" w:rsidP="003B5DF1">
      <w:r>
        <w:separator/>
      </w:r>
    </w:p>
  </w:footnote>
  <w:footnote w:type="continuationSeparator" w:id="0">
    <w:p w14:paraId="52C92D4E" w14:textId="77777777" w:rsidR="00B067C4" w:rsidRDefault="00B067C4" w:rsidP="003B5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F1"/>
    <w:rsid w:val="003B5DF1"/>
    <w:rsid w:val="00B067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71D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