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8824" w14:textId="77777777" w:rsidR="00E1633A" w:rsidRDefault="00E1633A">
      <w:r>
        <w:t>學佛答問集</w:t>
      </w:r>
      <w:r>
        <w:t>—</w:t>
      </w:r>
      <w:r>
        <w:t xml:space="preserve">只受五戒，是否可以講《太上感應篇》？　　（第九六九集）　　</w:t>
      </w:r>
      <w:r>
        <w:t>2001/7/1</w:t>
      </w:r>
      <w:r>
        <w:t xml:space="preserve">　　新加坡佛教居士林　　檔名：</w:t>
      </w:r>
      <w:r>
        <w:t xml:space="preserve">29-522-0969 </w:t>
      </w:r>
    </w:p>
    <w:p w14:paraId="1D5A8461" w14:textId="77777777" w:rsidR="00E1633A" w:rsidRDefault="00E1633A">
      <w:pPr>
        <w:pStyle w:val="a3"/>
      </w:pPr>
      <w:r>
        <w:t xml:space="preserve">　　問：「居士講經，請問是否一定要受菩薩戒？」</w:t>
      </w:r>
      <w:r>
        <w:t xml:space="preserve"> </w:t>
      </w:r>
    </w:p>
    <w:p w14:paraId="349532AA" w14:textId="77777777" w:rsidR="00E1633A" w:rsidRDefault="00E1633A">
      <w:pPr>
        <w:pStyle w:val="a3"/>
      </w:pPr>
      <w:r>
        <w:t xml:space="preserve">　　答：一定要受菩薩戒。</w:t>
      </w:r>
      <w:r>
        <w:t xml:space="preserve"> </w:t>
      </w:r>
    </w:p>
    <w:p w14:paraId="5AC56ACA" w14:textId="77777777" w:rsidR="00E1633A" w:rsidRDefault="00E1633A">
      <w:pPr>
        <w:pStyle w:val="a3"/>
      </w:pPr>
      <w:r>
        <w:t xml:space="preserve">　　問：「若只受五戒，請問是否可以覆講《太上感應篇》等？」</w:t>
      </w:r>
      <w:r>
        <w:t xml:space="preserve"> </w:t>
      </w:r>
    </w:p>
    <w:p w14:paraId="629EA8B6" w14:textId="77777777" w:rsidR="00E1633A" w:rsidRDefault="00E1633A">
      <w:pPr>
        <w:pStyle w:val="a3"/>
      </w:pPr>
      <w:r>
        <w:t xml:space="preserve">　　答：行！講《太上感應篇》、《了凡四訓》，受三皈就可以了。如果是講佛教經典，一定要受菩薩戒。《了凡四訓》、《太上感應篇》、《文昌帝君陰騭文》，這些都不是佛經，這些可以講。　　節錄自：</w:t>
      </w:r>
      <w:r>
        <w:t>21-090-0085</w:t>
      </w:r>
      <w:r>
        <w:t xml:space="preserve">學佛答問　　</w:t>
      </w:r>
    </w:p>
    <w:sectPr w:rsidR="00E163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0DAB" w14:textId="77777777" w:rsidR="00E1633A" w:rsidRDefault="00E1633A" w:rsidP="000561CA">
      <w:r>
        <w:separator/>
      </w:r>
    </w:p>
  </w:endnote>
  <w:endnote w:type="continuationSeparator" w:id="0">
    <w:p w14:paraId="4A625CB7" w14:textId="77777777" w:rsidR="00E1633A" w:rsidRDefault="00E1633A" w:rsidP="0005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A388" w14:textId="77777777" w:rsidR="00E1633A" w:rsidRDefault="00E1633A" w:rsidP="000561CA">
      <w:r>
        <w:separator/>
      </w:r>
    </w:p>
  </w:footnote>
  <w:footnote w:type="continuationSeparator" w:id="0">
    <w:p w14:paraId="0901AEB0" w14:textId="77777777" w:rsidR="00E1633A" w:rsidRDefault="00E1633A" w:rsidP="00056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CA"/>
    <w:rsid w:val="000561CA"/>
    <w:rsid w:val="00B519F4"/>
    <w:rsid w:val="00E1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E64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1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1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1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1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