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AC63" w14:textId="77777777" w:rsidR="00FA2F23" w:rsidRDefault="00FA2F23">
      <w:r>
        <w:t xml:space="preserve">《每日論語》　　悟道法師主講　　（第十六集）　　</w:t>
      </w:r>
      <w:r>
        <w:t>2018/12/3</w:t>
      </w:r>
      <w:r>
        <w:t xml:space="preserve">　　台灣華藏淨宗學會　　檔名：</w:t>
      </w:r>
      <w:r>
        <w:t xml:space="preserve">WD20-037-0016 </w:t>
      </w:r>
    </w:p>
    <w:p w14:paraId="28A728F5" w14:textId="77777777" w:rsidR="00FA2F23" w:rsidRDefault="00FA2F23">
      <w:pPr>
        <w:pStyle w:val="a3"/>
      </w:pPr>
      <w:r>
        <w:t xml:space="preserve">　　諸位同學，大家早上好！我們繼續來學習《論語講記》「學而」篇，第十四章。</w:t>
      </w:r>
      <w:r>
        <w:t xml:space="preserve"> </w:t>
      </w:r>
    </w:p>
    <w:p w14:paraId="2FDB146C" w14:textId="77777777" w:rsidR="00FA2F23" w:rsidRDefault="00FA2F23">
      <w:pPr>
        <w:pStyle w:val="a3"/>
      </w:pPr>
      <w:r>
        <w:t xml:space="preserve">　　【子曰。君子食無求飽。居無求安。敏於事而慎於言。就有道而正焉。可謂好學也已。】</w:t>
      </w:r>
      <w:r>
        <w:t xml:space="preserve"> </w:t>
      </w:r>
    </w:p>
    <w:p w14:paraId="02AB4FC6" w14:textId="77777777" w:rsidR="00FA2F23" w:rsidRDefault="00FA2F23">
      <w:pPr>
        <w:pStyle w:val="a3"/>
      </w:pPr>
      <w:r>
        <w:t xml:space="preserve">　　『子曰：君子』，「君子」不是普通人，有二說，有兩種說法。一者沒有褒貶，在位者稱君子，不在位者稱小人，這是一種說法。在上位的做官的，有地位的稱君子，沒有在做官這個位子上就是小人。所以我們以前看電視連續劇，古裝的，稱做官的，譬如說縣太爺稱他大人，自己稱小人。這是一種。二者有學問道德，一求學就是君子，不求學者為小人。求學是君子，不求學是小人，因為求學求有道德的緣故。求學向有道德學問的人學，所以這是君子，不學就變成小人了，這是第二種說法。人生觀，人生的觀念不外二類，就是有兩大類：二十年前的讀書人不同於今日，若學問通達，不論是科學等等，一切都貫通。如佛學與科學，以今日科學來講佛學，不相妨礙，若還講天圓地方，便是呆板。所以要知道現在一些科學的知識。孔子云，「吾道一以貫之」，大小事都能貫通。人到社會，有分利、生利的差別，禮尚往來，彼此都必須有貢獻，如吾在此喝一杯茶，是萬人的功勞，吾須報萬人的恩，這就是佛法的報眾生恩。</w:t>
      </w:r>
      <w:r>
        <w:t xml:space="preserve"> </w:t>
      </w:r>
    </w:p>
    <w:p w14:paraId="01201EEC" w14:textId="77777777" w:rsidR="00FA2F23" w:rsidRDefault="00FA2F23">
      <w:pPr>
        <w:pStyle w:val="a3"/>
      </w:pPr>
      <w:r>
        <w:t xml:space="preserve">　　人到社會，貨惡其棄於地也，不藏於己；力惡其不出於身也，不必為己，所以人在社會不能當分利者。有人不懂，只是志在溫飽，這是小人。另一類為社會做點事，如范仲淹一天所作看是否與薪俸相等，否則心不安，這是君子，對得起大家。這是舉出范仲淹他每天所作的這些事，跟他領的薪水是不是相等，如果做得不夠不到，心就不安。志在溫飽就是沒學問，社會的害蟲，掃街也能不虛度此日，幹工友也須盡力，做得比別人響亮，敦倫盡分。有人說生為享受，誰應該享受？為何單單你享受。吾來此講書，求得心安，吾過世了也對得起台灣，儒佛都如此，這就是道。以上這是雪廬老人所講的，就是他在台灣的確做得非常偉大的貢獻，就是本教義。</w:t>
      </w:r>
      <w:r>
        <w:t xml:space="preserve"> </w:t>
      </w:r>
    </w:p>
    <w:p w14:paraId="484EFBDC" w14:textId="77777777" w:rsidR="00FA2F23" w:rsidRDefault="00FA2F23">
      <w:pPr>
        <w:pStyle w:val="a3"/>
      </w:pPr>
      <w:r>
        <w:t xml:space="preserve">　　『食無求飽，居無求安』，這兩句並非叫你吃不飽，居不安，穿不暖，不是這樣的講法，這個意思是有比這更重要的事情。下面舉出例子，周公的例子，周公令他的兒子伯禽到封地，教訓他一切人都必須見。周公說：我的父親是文王，兄為武王，成王為我的姪子，上中下都是皇帝，你比起我來如何啊？我尚且一飯三吐哺，一沐三握髮，你必須這樣學。這是「食無求飽，居無求安」，有比吃飯居住還重要的事必須去辦，而且還有比死更要緊的。以上雪廬老人舉出周公對他兒子伯禽講的話，周公講他的身份地位，上中下都是皇帝。那他怎麼樣？吃一餐飯，遇到有人要來見，馬上停下來，在嘴巴的東西先吐出來，吃一餐飯吐了三次；一沐三握髮，洗個澡沒洗完人就來了，頭發趕快先把它綁起來見人。這是周公對他兒子的開示，我們也必須這樣學。這個就是食無求飽，居無求安的意思。</w:t>
      </w:r>
      <w:r>
        <w:t xml:space="preserve"> </w:t>
      </w:r>
    </w:p>
    <w:p w14:paraId="1920F345" w14:textId="77777777" w:rsidR="00FA2F23" w:rsidRDefault="00FA2F23">
      <w:pPr>
        <w:pStyle w:val="a3"/>
      </w:pPr>
      <w:r>
        <w:t xml:space="preserve">　　『敏於事而慎於言』。「敏於事而慎於言」，慎言就是講話要謹慎，慎言才會守信義。敏事，敏，速也，就是快速。如子路問：「聞斯行諸？」孔子教他，「有父兄在，如之何其聞斯行諸？」聞斯行之就是敏。唐代以前註審是迅，審，考慮，考慮考</w:t>
      </w:r>
      <w:r>
        <w:lastRenderedPageBreak/>
        <w:t>慮又要快。考慮慢是學問、經歷都不夠的緣故，所以要考慮很久，這些就是學問、經歷還不夠。</w:t>
      </w:r>
      <w:r>
        <w:t xml:space="preserve"> </w:t>
      </w:r>
    </w:p>
    <w:p w14:paraId="20216853" w14:textId="77777777" w:rsidR="00FA2F23" w:rsidRDefault="00FA2F23">
      <w:pPr>
        <w:pStyle w:val="a3"/>
      </w:pPr>
      <w:r>
        <w:t xml:space="preserve">　　『就有道而正焉』。如此還不行，還要「就有道而正焉」。就，到哪個人的住處去求學。要去找誰？找有道，什麼事有什麼事的道理，都必須找懂局的人，這個懂局就是內行人。如問建築師有關烹飪的事不行，建築師他會建築蓋房子，你去問他廚房做菜的事，那不是他的專業，你問他這個事情是不行的，問錯人了。問錯人那要怨自己找錯人。所以我們現在的話講，我們要請問什麼事情，要找那個專業的。正，是為你定是非，定標準。這個人可以幫我們定是非，定個標準。這個是就有道而正焉。</w:t>
      </w:r>
      <w:r>
        <w:t xml:space="preserve"> </w:t>
      </w:r>
    </w:p>
    <w:p w14:paraId="3CABEBDA" w14:textId="77777777" w:rsidR="00FA2F23" w:rsidRDefault="00FA2F23">
      <w:pPr>
        <w:pStyle w:val="a3"/>
      </w:pPr>
      <w:r>
        <w:t xml:space="preserve">　　『可謂好學也已』。以上都辦到了，「可謂好學也已」。你們求學必須如此，學而時習之，就有道而正焉。如有人請你去當教授，若有名無實，就是誤人子弟，一定要名符其實。</w:t>
      </w:r>
      <w:r>
        <w:t xml:space="preserve"> </w:t>
      </w:r>
    </w:p>
    <w:p w14:paraId="2A83F0C6" w14:textId="77777777" w:rsidR="00FA2F23" w:rsidRDefault="00FA2F23">
      <w:pPr>
        <w:pStyle w:val="a3"/>
      </w:pPr>
      <w:r>
        <w:t xml:space="preserve">　　好，今天我們這一章書先學習到這裡，我們有時間重複聽個幾次，更能夠體會這章書它的義理。好，祝大家福慧增長，法喜充滿，阿彌陀佛！　　</w:t>
      </w:r>
    </w:p>
    <w:sectPr w:rsidR="00FA2F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C36AA" w14:textId="77777777" w:rsidR="00FA2F23" w:rsidRDefault="00FA2F23" w:rsidP="001B7742">
      <w:r>
        <w:separator/>
      </w:r>
    </w:p>
  </w:endnote>
  <w:endnote w:type="continuationSeparator" w:id="0">
    <w:p w14:paraId="6E4DB70B" w14:textId="77777777" w:rsidR="00FA2F23" w:rsidRDefault="00FA2F23" w:rsidP="001B7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18CB2" w14:textId="77777777" w:rsidR="00FA2F23" w:rsidRDefault="00FA2F23" w:rsidP="001B7742">
      <w:r>
        <w:separator/>
      </w:r>
    </w:p>
  </w:footnote>
  <w:footnote w:type="continuationSeparator" w:id="0">
    <w:p w14:paraId="794F4F7A" w14:textId="77777777" w:rsidR="00FA2F23" w:rsidRDefault="00FA2F23" w:rsidP="001B77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42"/>
    <w:rsid w:val="001B7742"/>
    <w:rsid w:val="007931EE"/>
    <w:rsid w:val="00FA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F503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77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77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77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77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