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8CA6A" w14:textId="77777777" w:rsidR="00587379" w:rsidRDefault="00587379">
      <w:r>
        <w:t xml:space="preserve">《每日論語》　　悟道法師主講　　（第十七集）　　</w:t>
      </w:r>
      <w:r>
        <w:t>2018/12/4</w:t>
      </w:r>
      <w:r>
        <w:t xml:space="preserve">　　台灣華藏淨宗學會　　檔名：</w:t>
      </w:r>
      <w:r>
        <w:t xml:space="preserve">WD20-037-0017 </w:t>
      </w:r>
    </w:p>
    <w:p w14:paraId="45BA1CC6" w14:textId="77777777" w:rsidR="00587379" w:rsidRDefault="00587379">
      <w:pPr>
        <w:pStyle w:val="a3"/>
      </w:pPr>
      <w:r>
        <w:t xml:space="preserve">　　諸位同學，大家早上好，阿彌陀佛！我們接著來學習《論語講記》「學而」篇，第十五章。</w:t>
      </w:r>
      <w:r>
        <w:t xml:space="preserve"> </w:t>
      </w:r>
    </w:p>
    <w:p w14:paraId="0FEEB0B9" w14:textId="77777777" w:rsidR="00587379" w:rsidRDefault="00587379">
      <w:pPr>
        <w:pStyle w:val="a3"/>
      </w:pPr>
      <w:r>
        <w:t xml:space="preserve">　　【子貢曰。貧而無諂。富而無驕。何如。子曰。可也。未若貧而樂。富而好禮者也。子貢曰。詩云。如切如磋。如琢如磨。其斯之謂與。子曰。賜也。始可與言詩已矣。告諸往而知來者。】</w:t>
      </w:r>
      <w:r>
        <w:t xml:space="preserve"> </w:t>
      </w:r>
    </w:p>
    <w:p w14:paraId="52FE660C" w14:textId="77777777" w:rsidR="00587379" w:rsidRDefault="00587379">
      <w:pPr>
        <w:pStyle w:val="a3"/>
      </w:pPr>
      <w:r>
        <w:t xml:space="preserve">　　這章書第一段，『子貢曰：貧而無諂，富而無驕，何如？』子貢問，貧窮人遇到有錢人而諂媚，有錢人驕傲，若能無諂無驕，「何如」？就是貧窮人沒有諂媚，有錢的人也沒有驕傲，這樣怎麼樣呢？請問孔子。『子曰：可也』。孔子回答，可，可以。聖人教人，不到這個程度不如此教，因為子貢還能進步的緣故。若是吾如此問，孔子不會如此說，孔子會說「你怕是辦不到」。就是雪廬老人講，假若雪廬老人他去請問孔子，那孔子的回答就不會像回答子貢這樣說了。孔子會說：怕你做不到。例如另一回，子貢說：「我不欲人之加諸我也，吾亦欲無加諸人。」孔子說，你辦不到。子貢說：我不喜歡別人加在我身上的事情，我也不會去加在別人身上。孔子說，你做不到。這是雪廬老人舉出另外一次子貢跟孔子的對話。</w:t>
      </w:r>
      <w:r>
        <w:t xml:space="preserve"> </w:t>
      </w:r>
    </w:p>
    <w:p w14:paraId="049DC716" w14:textId="77777777" w:rsidR="00587379" w:rsidRDefault="00587379">
      <w:pPr>
        <w:pStyle w:val="a3"/>
      </w:pPr>
      <w:r>
        <w:t xml:space="preserve">　　下面這一段，『子曰：可也，未若貧而樂，富而好禮者也。』子曰，不如貧而能樂道，如顏淵的安貧樂道，因為朝聞道，夕死可矣，未證道，死不得。這是孔子回答子貢的話。孔子說「未若貧而樂」，貧窮但是他能安貧樂道。就像顏淵（顏回）一樣，顏回很貧窮，但是他能安貧樂道，因為顏回朝聞道，夕死可矣，聞到道了，早上聞到道，晚上死也可以了。未證道死不得，但是還沒有證得道，還沒有真正聞道，那就死不得，還是要求道。這是講貧，安貧樂道。雖然物質生活貧窮，但是他心在道上，他快樂，所以叫樂道。「富」，就是富貴人若再懂禮，富貴人家懂得禮貌，雖然是對肩挑小販，也必須恭敬。富貴人家有財富，有地位，做大官，大財主，但是他對很低層的、貧賤的人他也恭敬，有禮貌。這是孔子回答子貢的話。</w:t>
      </w:r>
      <w:r>
        <w:t xml:space="preserve"> </w:t>
      </w:r>
    </w:p>
    <w:p w14:paraId="33EB399C" w14:textId="77777777" w:rsidR="00587379" w:rsidRDefault="00587379">
      <w:pPr>
        <w:pStyle w:val="a3"/>
      </w:pPr>
      <w:r>
        <w:t xml:space="preserve">　　下面這段，『子貢曰：詩云，如切如磋，如琢如磨，其斯之謂與？』「子貢曰」，子貢接著再說了，「詩云」，就是《詩經》裡面講的，「如切如磋，如琢如磨」，治骨曰切，治象曰磋，治玉曰琢，治石曰磨，這個好上加好，沒有止境。這個意思是好上加好。例如以木頭做桌子，已經成形了，上頭還要刨過，給它刨光，再加漆，再加上花飾，要求好上加好。這個就是如切如磋，如琢如磨，什麼事情好，還要給它做得更好。</w:t>
      </w:r>
      <w:r>
        <w:t xml:space="preserve"> </w:t>
      </w:r>
    </w:p>
    <w:p w14:paraId="620DEC5D" w14:textId="77777777" w:rsidR="00587379" w:rsidRDefault="00587379">
      <w:pPr>
        <w:pStyle w:val="a3"/>
      </w:pPr>
      <w:r>
        <w:t xml:space="preserve">　　下面是孔子的回答，『子曰：賜也，始可與言詩已矣，告諸往而知來者。』「子曰，賜也」，孔子給子貢講，這才可以教你作詩。若上學就必須念詩，學詩開竅快，會作詩便會作文，就知道人的心理，也知道事情的興衰存亡。告訴你以前有人如此辦，你就可以預先知道未來。因為你能拿「如切如磋，如琢如磨」這個當比喻。這是孔子回答子貢，你知道引用《詩經》「如切如磋，如琢如磨」，就可以教你作詩了。所以上學必須先念詩，這個《詩經》是為首的。所以學詩開竅快，會作詩就會作文，就知道人的心理，也知道事情的興衰存亡。在春秋以前，夏商周一直到春秋戰國，孔子還沒有作《春秋》之前，每個諸候國家都有采詩，國君都到地方上去了解民情，民</w:t>
      </w:r>
      <w:r>
        <w:lastRenderedPageBreak/>
        <w:t>間也會把人民他的需要、他的感受，透過這個詩來表達，國君聽到這個詩就知道人民需要什麼，他在政策上有什麼地方要調整。這樣治理國家，這國家就興了。如果國君不聽人民的聲音，政策都是錯誤的，傷害人民，那這個國家就衰敗，就亡國了。所以古時候，到每個地方，每個國家，去聽聽那個地方作的詩，那是一種民意的表達。所以子貢他拿《詩經》「如切如磋，如琢如磨」當比喻，那孔子跟他講，「告諸往而知來者」，也就可以預先知道未來了，因為你能拿「如切如磋，如琢如磨」這個當比喻。所以《詩經》我們念，會念，懂了，我們就可以知道一個國家、地區，甚至我們民間公司、團體，就知道它未來的情況，是興還是衰，可以預先知道。</w:t>
      </w:r>
      <w:r>
        <w:t xml:space="preserve"> </w:t>
      </w:r>
    </w:p>
    <w:p w14:paraId="4B318BB1" w14:textId="77777777" w:rsidR="00587379" w:rsidRDefault="00587379">
      <w:pPr>
        <w:pStyle w:val="a3"/>
      </w:pPr>
      <w:r>
        <w:t xml:space="preserve">　　好，今天這一章書我們就學習到此地，祝大家福慧增長，法喜充滿，阿彌陀佛！　　</w:t>
      </w:r>
    </w:p>
    <w:sectPr w:rsidR="005873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56076" w14:textId="77777777" w:rsidR="00587379" w:rsidRDefault="00587379" w:rsidP="00152FF1">
      <w:r>
        <w:separator/>
      </w:r>
    </w:p>
  </w:endnote>
  <w:endnote w:type="continuationSeparator" w:id="0">
    <w:p w14:paraId="677B30A1" w14:textId="77777777" w:rsidR="00587379" w:rsidRDefault="00587379" w:rsidP="00152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C3CF2" w14:textId="77777777" w:rsidR="00587379" w:rsidRDefault="00587379" w:rsidP="00152FF1">
      <w:r>
        <w:separator/>
      </w:r>
    </w:p>
  </w:footnote>
  <w:footnote w:type="continuationSeparator" w:id="0">
    <w:p w14:paraId="404683E5" w14:textId="77777777" w:rsidR="00587379" w:rsidRDefault="00587379" w:rsidP="00152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F1"/>
    <w:rsid w:val="00152FF1"/>
    <w:rsid w:val="0058737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9D0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