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E836" w14:textId="77777777" w:rsidR="004870C5" w:rsidRDefault="004870C5">
      <w:r>
        <w:t xml:space="preserve">《每日論語》　　悟道法師主講　　（第二十集）　　</w:t>
      </w:r>
      <w:r>
        <w:t>2018/12/7</w:t>
      </w:r>
      <w:r>
        <w:t xml:space="preserve">　　斯里蘭卡科倫坡　　檔名：</w:t>
      </w:r>
      <w:r>
        <w:t xml:space="preserve">WD20-037-0020 </w:t>
      </w:r>
    </w:p>
    <w:p w14:paraId="1C760B3A" w14:textId="77777777" w:rsidR="004870C5" w:rsidRDefault="004870C5">
      <w:pPr>
        <w:pStyle w:val="a3"/>
      </w:pPr>
      <w:r>
        <w:t xml:space="preserve">　　諸位同學，大家早上好，阿彌陀佛！我們繼續來學習《論語講記》「學而」篇雪廬老人的提要。</w:t>
      </w:r>
      <w:r>
        <w:t xml:space="preserve"> </w:t>
      </w:r>
    </w:p>
    <w:p w14:paraId="77997EF7" w14:textId="77777777" w:rsidR="004870C5" w:rsidRDefault="004870C5">
      <w:pPr>
        <w:pStyle w:val="a3"/>
      </w:pPr>
      <w:r>
        <w:t xml:space="preserve">　　我們上一集學習到提要的第一段「受業始終」。「子曰：學而時習之，不亦說乎。」學是求學者接受教育。習是溫習所學的事業。悅是學習成功以後，心中得的愉快。我們接著來學習提要的第二段。第一段雪廬老人也講：這一段「學」字，雖然為讀書士人說的，但是各界各業都可以採用。就是各行各業都可以採用，不是只有讀書人才用得上，所有的行業都用得上。所學有了真得，才能愉快。</w:t>
      </w:r>
      <w:r>
        <w:t xml:space="preserve"> </w:t>
      </w:r>
    </w:p>
    <w:p w14:paraId="56A8D432" w14:textId="77777777" w:rsidR="004870C5" w:rsidRDefault="004870C5">
      <w:pPr>
        <w:pStyle w:val="a3"/>
      </w:pPr>
      <w:r>
        <w:t xml:space="preserve">　　第二段，「名顯道宏」是提要的第二段，「有朋自遠方來，不亦樂乎。」學有成就，名已遠揚。這個學問道德有了成就，這個名聲已經揚名，遠揚就是遠方的人都知道了。有志同道合的人，聽到你有道德學問，他從遠方來求學，來訪問，就是或者來訪問、求學，自己就能把自己所得，自己所學得到的學問，廣益人群社會，廣泛的利益人群社會，豈不是很歡樂的事！這個就是「有朋自遠方來，不亦樂乎」。所以這一段提要是「名顯道宏」，這個名顯揚，道就宏揚出去了，這是很快樂的事情。</w:t>
      </w:r>
      <w:r>
        <w:t xml:space="preserve"> </w:t>
      </w:r>
    </w:p>
    <w:p w14:paraId="25E175C8" w14:textId="77777777" w:rsidR="004870C5" w:rsidRDefault="004870C5">
      <w:pPr>
        <w:pStyle w:val="a3"/>
      </w:pPr>
      <w:r>
        <w:t xml:space="preserve">　　提要第三段「時機不合」，上面一段是「名顯道宏」，第三段提要給我們講「時機不合」。「人不知而不慍，不亦君子乎」。上面講「名顯道宏」，但是有時候時機不合，不逢知音，空懷大才，無處去用。就是我們佛法講時節因緣沒到，沒有碰到知音的人，人家不認識，自己有很大的學問，但是沒地方用。既是學有所得，自然知命，不可牢騷不平，自傷中和。既然學習有所得，就是有心得，自然樂天知命。在《論語》講，孔子五十知天命，知天命就是悟處，一個知天命的人他就不會有牢騷不平。所以這裡給我們講，如果自己有道德學問，時機不合，遇不到知音的人，不能施展自己的才用，不可以牢騷不平，志傷中和。應該養氣持志，不怨不尤，不怨天不尤人，完成宏量君子，雖然沒有人爵，天爵更為尊貴。這個是給我們講「學而」篇第一章書的提要還有三段：「受業始終」、「名顯道宏」、「時機不合」。</w:t>
      </w:r>
      <w:r>
        <w:t xml:space="preserve"> </w:t>
      </w:r>
    </w:p>
    <w:p w14:paraId="5570378C" w14:textId="77777777" w:rsidR="004870C5" w:rsidRDefault="004870C5">
      <w:pPr>
        <w:pStyle w:val="a3"/>
      </w:pPr>
      <w:r>
        <w:t xml:space="preserve">　　下面再給我們講「其為」章二段「孝悌為修齊治平基礎」。第一段，「孝悌為行仁開源」。</w:t>
      </w:r>
      <w:r>
        <w:t xml:space="preserve"> </w:t>
      </w:r>
    </w:p>
    <w:p w14:paraId="4D0FD10C" w14:textId="77777777" w:rsidR="004870C5" w:rsidRDefault="004870C5">
      <w:pPr>
        <w:pStyle w:val="a3"/>
      </w:pPr>
      <w:r>
        <w:t xml:space="preserve">　　【有子曰。其為人也孝弟。而好犯上者。鮮矣。不好犯上。而好作亂者。未之有也。】</w:t>
      </w:r>
      <w:r>
        <w:t xml:space="preserve"> </w:t>
      </w:r>
    </w:p>
    <w:p w14:paraId="72D3955E" w14:textId="77777777" w:rsidR="004870C5" w:rsidRDefault="004870C5">
      <w:pPr>
        <w:pStyle w:val="a3"/>
      </w:pPr>
      <w:r>
        <w:t xml:space="preserve">　　前章舉的六藝。第一件就是禮。禮記的第一句話是「毋不敬」，這是禮的總綱。除了禽獸，凡是人類都有禮敬，不過精粗的分別而已。這個禮，有比較精細的，有比較粗顯的，有這個分別而已。人類他都有個禮，這是不同於禽獸。人有禮敬必吉，家有禮敬能昌，國有禮敬自強，若無禮敬必亂。這是給我們講禮它的重要性，人有禮敬必定吉祥，家庭有禮敬必定能昌盛，國家有禮敬自然國富民強，若無禮敬必亂。如果一個國家、一個家庭或者個人沒有禮敬，必定就很亂，就不好了。所以政府先要端正禮俗，繼續又提倡「莊敬自強」，在世界惡劣環境中，我們反而日漸繁榮，更得國際多助。可知禮敬的重要。</w:t>
      </w:r>
      <w:r>
        <w:t xml:space="preserve"> </w:t>
      </w:r>
    </w:p>
    <w:p w14:paraId="3A163973" w14:textId="77777777" w:rsidR="004870C5" w:rsidRDefault="004870C5">
      <w:pPr>
        <w:pStyle w:val="a3"/>
      </w:pPr>
      <w:r>
        <w:lastRenderedPageBreak/>
        <w:t xml:space="preserve">　　《禮記》說「毋不敬」，但也有先後輕重的區別。至親者、位尊者、有德者，自然居先。父母親又是尊貴中的尊貴，更要先之又先，必須孝敬。兄長同胞，又先我生，這個兄長比我先生，必得盡到悌道。所以也要敬重兄長，這是天經地義絲毫不許懈怠。然後推及一切都要加禮敬。凡侵犯侮慢等事，一概不能作。尊敬父母兄長稱作「孝弟」。禮敬一切稱為行「仁」。這是修身至平天下一貫的路線。</w:t>
      </w:r>
      <w:r>
        <w:t xml:space="preserve"> </w:t>
      </w:r>
    </w:p>
    <w:p w14:paraId="01A6C5D3" w14:textId="77777777" w:rsidR="004870C5" w:rsidRDefault="004870C5">
      <w:pPr>
        <w:pStyle w:val="a3"/>
      </w:pPr>
      <w:r>
        <w:t xml:space="preserve">　　人知禮敬，才行孝悌，人都有父母，彼此一禮，自然禮敬一切，普遍行仁。既然行孝悌，便是知禮敬的道理，哪有侵犯長上的事！所以無禮不敬的動作，孝悌的人是深以為恥的，所以少有這樣的事了。再者凡是不守家庭規矩，破壞社會秩序，違犯國家法律，都不是禮敬行仁，稱為作亂。因為這些事都有層級主管，有禮敬的人深恥侵犯長上的人，再去為非作亂，是不可能的，這是治安的根本辦法。</w:t>
      </w:r>
      <w:r>
        <w:t xml:space="preserve"> </w:t>
      </w:r>
    </w:p>
    <w:p w14:paraId="75FFE958" w14:textId="77777777" w:rsidR="004870C5" w:rsidRDefault="004870C5">
      <w:pPr>
        <w:pStyle w:val="a3"/>
      </w:pPr>
      <w:r>
        <w:t xml:space="preserve">　　好，今天我們先學習到這一段。下面提要的第二段「行仁為達道之本」，我們下一次再來學習。祝大家福慧增長，法喜充滿，阿彌陀佛！　　</w:t>
      </w:r>
    </w:p>
    <w:sectPr w:rsidR="004870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28F5" w14:textId="77777777" w:rsidR="004870C5" w:rsidRDefault="004870C5" w:rsidP="007D3D8F">
      <w:r>
        <w:separator/>
      </w:r>
    </w:p>
  </w:endnote>
  <w:endnote w:type="continuationSeparator" w:id="0">
    <w:p w14:paraId="34E9AD4C" w14:textId="77777777" w:rsidR="004870C5" w:rsidRDefault="004870C5" w:rsidP="007D3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C405B" w14:textId="77777777" w:rsidR="004870C5" w:rsidRDefault="004870C5" w:rsidP="007D3D8F">
      <w:r>
        <w:separator/>
      </w:r>
    </w:p>
  </w:footnote>
  <w:footnote w:type="continuationSeparator" w:id="0">
    <w:p w14:paraId="1E0A0A41" w14:textId="77777777" w:rsidR="004870C5" w:rsidRDefault="004870C5" w:rsidP="007D3D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8F"/>
    <w:rsid w:val="004870C5"/>
    <w:rsid w:val="007931EE"/>
    <w:rsid w:val="007D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11A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3D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3D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3D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3D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