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A518" w14:textId="77777777" w:rsidR="00EE6C39" w:rsidRDefault="00EE6C39">
      <w:r>
        <w:t xml:space="preserve">《每日論語》　　悟道法師主講　　（第二十五集）　　</w:t>
      </w:r>
      <w:r>
        <w:t>2018/12/12</w:t>
      </w:r>
      <w:r>
        <w:t xml:space="preserve">　　斯里蘭卡康提　　檔名：</w:t>
      </w:r>
      <w:r>
        <w:t xml:space="preserve">WD20-037-0025 </w:t>
      </w:r>
    </w:p>
    <w:p w14:paraId="16676B81" w14:textId="77777777" w:rsidR="00EE6C39" w:rsidRDefault="00EE6C39">
      <w:pPr>
        <w:pStyle w:val="a3"/>
      </w:pPr>
      <w:r>
        <w:t xml:space="preserve">　　諸位同學，大家早上好，阿彌陀佛！我是悟道，現在在斯里蘭卡，今天就回台北了。我們繼續來學習《論語講記》「為政」篇第二章。</w:t>
      </w:r>
      <w:r>
        <w:t xml:space="preserve"> </w:t>
      </w:r>
    </w:p>
    <w:p w14:paraId="1893E8EA" w14:textId="77777777" w:rsidR="00EE6C39" w:rsidRDefault="00EE6C39">
      <w:pPr>
        <w:pStyle w:val="a3"/>
      </w:pPr>
      <w:r>
        <w:t xml:space="preserve">　　【子曰。詩三百。一言以蔽之。曰。思無邪。】</w:t>
      </w:r>
      <w:r>
        <w:t xml:space="preserve"> </w:t>
      </w:r>
    </w:p>
    <w:p w14:paraId="7D5B238F" w14:textId="77777777" w:rsidR="00EE6C39" w:rsidRDefault="00EE6C39">
      <w:pPr>
        <w:pStyle w:val="a3"/>
      </w:pPr>
      <w:r>
        <w:t xml:space="preserve">　　我們平常都講『思無邪』，雪廬老人下面給我們做解釋，這個念邪（徐）。「這一部經有歸類，如何為政，第二章也是討論政治」。「這一章說的詩」，就是《詩經》，「不是今日的新詩，也不是今日詩社的詩，不是僅有風花雪月而已」。不是只有風華雪月這些詩情畫意，《詩經》講的主要跟政治有關。「政治是替百姓辦事，必須知道百姓的景況」，就是他的情景狀況。「民之所好好之」，所以必須先知道。首先要知道百姓他的需要，他們有什麼困難，要替老百姓解決問題。「例如知縣、知府，他的能力能知道一縣」，這個縣的事情他都知道，「才能為一縣之主而為知縣，才能為一縣的人辦事」，古時候的縣長叫知縣。「人人都有七情六欲，喜怒等情感可以唱出歌來」，用歌唱來表達情感。「從前的詩歌是百姓喜怒哀樂的情趣」，透過這個詩來表達。「從前有采詩官」，就是政府有官員，有設采詩的官員到各地方去采詩，就是每個地方唱詩，他把它蒐集起來。「采詩而知百姓心理」，到各地方去採集這些詩歌，就知道百姓他們心裡想的什麼事情，然後向國君匯報。所以以前百姓有什麼需要，或者是有什麼想法，都透過這個詩來反映，來表達。「時間久了而成為風氣」，形成一種風氣。而且這個詩歌可以配上樂，配樂來唱。「祭祀用樂，歌功</w:t>
      </w:r>
      <w:r>
        <w:t>頌德，闡述祖先開國之德。所以立國首先要制禮作樂，讚頌他的祖先之德，例如祭孔歌《大哉孔子》。詩在各國互相流通，人們都知道，辦政治者可以引用，便知道百姓的意思，兩國辦外交時，以詩為證」，以這個詩做為證明。就是以前兩國辦外交，「便可以分出勝負」，以這個詩來做證明，就知道兩國的勝負了。「所謂聽詩知國政，觀易見天心。吳季札觀樂，連詩也要聞」。</w:t>
      </w:r>
      <w:r>
        <w:t xml:space="preserve"> </w:t>
      </w:r>
    </w:p>
    <w:p w14:paraId="2C701AE3" w14:textId="77777777" w:rsidR="00EE6C39" w:rsidRDefault="00EE6C39">
      <w:pPr>
        <w:pStyle w:val="a3"/>
      </w:pPr>
      <w:r>
        <w:t xml:space="preserve">　　『子曰：詩三百』，「詩三百，詩原有千餘首，今日有三百零五篇，《風．雅．頌》的內容包含很廣，什麼都有，有男女等。詩都是在說各地民情，可以知道一國的興衰存亡」。『一言以蔽之』，「蔽有很多種說法，或說是蓋，或說是蔽塞，很難講，只採其中一種概括的的意思。一句話就都全包概括」。「《會箋》說」，《會箋》就是註解《論語》的，「如今所稱總而言之」。「一言以蔽之」，現在話講「總而言之」，就是一句話可以全部給它包括了。『曰：思無邪。』「曰思無邪，思無邪是《魯頌．駉篇》的詩，這是魯僖公使人牧馬」，「駉」就是牧馬的地方。牧馬的人，「牧馬有方」，放牧馬他有方法，「在荒郊放牧，不踐民田，不傷害人民的莊稼，百姓歌頌功德」。他就是馬放牧在郊外，他有方法，馬不會隨便跑到人家農田去破壞人家的莊稼，老百姓感恩，歌功頌德。「比如曹操割髮代斬首的典故，便可以知道這首詩的意思」。曹操他也告誡官兵不可以去踐踏農民的農田，如果違反就要斬首。有一次曹操他自己的馬跑到農田去，把人家的莊稼踩壞了。那怎麼辦？他是不是要殺頭？後來曹操他拿劍把他的頭髮割下來代替斬首，這個典故。</w:t>
      </w:r>
      <w:r>
        <w:t xml:space="preserve"> </w:t>
      </w:r>
    </w:p>
    <w:p w14:paraId="63C44CB5" w14:textId="77777777" w:rsidR="00EE6C39" w:rsidRDefault="00EE6C39">
      <w:pPr>
        <w:pStyle w:val="a3"/>
      </w:pPr>
      <w:r>
        <w:t xml:space="preserve">　　「《魯頌．駉篇》末句說思無邪」，我們現在都是念「思無邪」。雪廬老人在這裡給我們講：「音為思無『徐』」，雙人徐的徐，說這個音要念徐。徐是緩的意思，緩就是緩緩的，很慢，不是很快。「唐以前思不是指思想，而是語辭」，就唐朝以</w:t>
      </w:r>
      <w:r>
        <w:lastRenderedPageBreak/>
        <w:t>前，「思」這個字，它的意思不是指思想的意思，而是一個言語的語氣詞。「如《中庸．神之格思》的思」，所以，「思無邪的思是引起的語辭」，應該念「思無徐」，這是雪廬老人給我們講的。「詩中雖有男女、戰爭的事情，都沒有不正的」。詩當中有講到男女、戰爭等事情，但都沒有不正當、不正確的。「若思當思想解釋，則邪不能當邪惡解」，所以這個字（邪）不能當邪惡來解釋，所以念「徐」。這個「思」它是一個語辭，它不是「思想」那個意思。雪廬老人給我們講，「你們可以查《集釋》、《詩經》，思無邪是思想誠心誠意，沒有一點虛假。詩三百都是作詩者的真性流露，不是假裝，全是人間真情。依此解釋，邪音徐」。所以這個字念「徐」，雙人徐的徐。</w:t>
      </w:r>
      <w:r>
        <w:t xml:space="preserve"> </w:t>
      </w:r>
    </w:p>
    <w:p w14:paraId="7CBF9836" w14:textId="77777777" w:rsidR="00EE6C39" w:rsidRDefault="00EE6C39">
      <w:pPr>
        <w:pStyle w:val="a3"/>
      </w:pPr>
      <w:r>
        <w:t xml:space="preserve">　　「政治與詩有什麼關係？有人說某人辦此事，可歌可泣。歌泣都是本性內的事，真性的流露。如《禮記》：歌於斯，哭於斯。歌與哭，都是人的性情流露。李太白《客中行》：蘭陵美酒鬱金香，玉琬盛來琥珀光。但使主人能醉客，不知何處是他鄉。這是一首詩可歌可泣，不在酒上（不是在酒上面），好在下二句，說主人不是普通的主人，凡是做主人，能待客如此，那我李白何處是家鄉，你就是我的家鄉。主人聽了，真是可泣可歌」。</w:t>
      </w:r>
      <w:r>
        <w:t xml:space="preserve"> </w:t>
      </w:r>
    </w:p>
    <w:p w14:paraId="5D3F555D" w14:textId="77777777" w:rsidR="00EE6C39" w:rsidRDefault="00EE6C39">
      <w:pPr>
        <w:pStyle w:val="a3"/>
      </w:pPr>
      <w:r>
        <w:t xml:space="preserve">　　今天我們就學習到這裡。祝大家福慧增長，法喜充滿，阿彌陀佛！　　</w:t>
      </w:r>
    </w:p>
    <w:sectPr w:rsidR="00EE6C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8690" w14:textId="77777777" w:rsidR="00EE6C39" w:rsidRDefault="00EE6C39" w:rsidP="00745FDD">
      <w:r>
        <w:separator/>
      </w:r>
    </w:p>
  </w:endnote>
  <w:endnote w:type="continuationSeparator" w:id="0">
    <w:p w14:paraId="6CC02CDB" w14:textId="77777777" w:rsidR="00EE6C39" w:rsidRDefault="00EE6C39" w:rsidP="0074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29EA" w14:textId="77777777" w:rsidR="00EE6C39" w:rsidRDefault="00EE6C39" w:rsidP="00745FDD">
      <w:r>
        <w:separator/>
      </w:r>
    </w:p>
  </w:footnote>
  <w:footnote w:type="continuationSeparator" w:id="0">
    <w:p w14:paraId="2A658E91" w14:textId="77777777" w:rsidR="00EE6C39" w:rsidRDefault="00EE6C39" w:rsidP="00745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DD"/>
    <w:rsid w:val="00745FDD"/>
    <w:rsid w:val="007931EE"/>
    <w:rsid w:val="00E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8D0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F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F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F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F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