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2A49" w14:textId="77777777" w:rsidR="00B13128" w:rsidRDefault="00B13128">
      <w:r>
        <w:t xml:space="preserve">《每日論語》　　悟道法師主講　　（第三十一集）　　</w:t>
      </w:r>
      <w:r>
        <w:t>2018/12/18</w:t>
      </w:r>
      <w:r>
        <w:t xml:space="preserve">　　香港佛陀教育協會　　檔名：</w:t>
      </w:r>
      <w:r>
        <w:t xml:space="preserve">WD20-037-0031 </w:t>
      </w:r>
    </w:p>
    <w:p w14:paraId="0F7A14D4" w14:textId="77777777" w:rsidR="00B13128" w:rsidRDefault="00B13128">
      <w:pPr>
        <w:pStyle w:val="a3"/>
      </w:pPr>
      <w:r>
        <w:t xml:space="preserve">　　諸位同學，大家早上好！我們繼續來學習雪廬老人的《論語講記》，「為政」篇第八章。</w:t>
      </w:r>
      <w:r>
        <w:t xml:space="preserve"> </w:t>
      </w:r>
    </w:p>
    <w:p w14:paraId="597DC87B" w14:textId="77777777" w:rsidR="00B13128" w:rsidRDefault="00B13128">
      <w:pPr>
        <w:pStyle w:val="a3"/>
      </w:pPr>
      <w:r>
        <w:t xml:space="preserve">　　【子夏問孝。子曰。色難。】</w:t>
      </w:r>
      <w:r>
        <w:t xml:space="preserve"> </w:t>
      </w:r>
    </w:p>
    <w:p w14:paraId="4980EAC1" w14:textId="77777777" w:rsidR="00B13128" w:rsidRDefault="00B13128">
      <w:pPr>
        <w:pStyle w:val="a3"/>
      </w:pPr>
      <w:r>
        <w:t xml:space="preserve">　　「『子夏問孝』，子曰：『色難』。實行孝的方法，要『色難』，色，臉上的顏色，今日叫動態。對父母，首先必須能養，這是普通情形。養不僅是養身，還要養心，讓父母終日高興，孝以順為貴。到此是一段，下文是另一段比喻」。</w:t>
      </w:r>
      <w:r>
        <w:t xml:space="preserve"> </w:t>
      </w:r>
    </w:p>
    <w:p w14:paraId="71BAC04F" w14:textId="77777777" w:rsidR="00B13128" w:rsidRDefault="00B13128">
      <w:pPr>
        <w:pStyle w:val="a3"/>
      </w:pPr>
      <w:r>
        <w:t xml:space="preserve">　　【有事弟子服其勞。有酒食。先生饌。】</w:t>
      </w:r>
      <w:r>
        <w:t xml:space="preserve"> </w:t>
      </w:r>
    </w:p>
    <w:p w14:paraId="24707A81" w14:textId="77777777" w:rsidR="00B13128" w:rsidRDefault="00B13128">
      <w:pPr>
        <w:pStyle w:val="a3"/>
      </w:pPr>
      <w:r>
        <w:t xml:space="preserve">　　「『有事，弟子服其勞，有酒食，先生饌』，饌宜作『餕』」，這個讀音雪廬老人講應該讀餕。「餕，都食盡了」，餕就是吃東西都吃完了，沒有剩餘的，「可見所準備的飲食很合父母的心意，如曾子養他父母」。曾子養他的父母，飲食被父母吃光了，可見得他準備的正是適合父母他們想吃的。</w:t>
      </w:r>
      <w:r>
        <w:t xml:space="preserve"> </w:t>
      </w:r>
    </w:p>
    <w:p w14:paraId="0A187E9C" w14:textId="77777777" w:rsidR="00B13128" w:rsidRDefault="00B13128">
      <w:pPr>
        <w:pStyle w:val="a3"/>
      </w:pPr>
      <w:r>
        <w:t xml:space="preserve">　　「為何說『弟子、先生』？這一章是問孝，說到『弟子、父母』，這是比喻舉例子。生我者父母，與我慧命者老師，所謂『一日為師，終生為父』，老師和我沒有血統，但是對老師的情形，道理和孝事父母相同，只是事情有變化」。「例如為老師心喪」，老師過世心喪三年，不穿孝服。「為什麼不服五服」，不穿孝服？「因為老師是在九族以外，既然與孝事父母道理相同，所以孔子舉例」。</w:t>
      </w:r>
      <w:r>
        <w:t xml:space="preserve"> </w:t>
      </w:r>
    </w:p>
    <w:p w14:paraId="68BDCEAE" w14:textId="77777777" w:rsidR="00B13128" w:rsidRDefault="00B13128">
      <w:pPr>
        <w:pStyle w:val="a3"/>
      </w:pPr>
      <w:r>
        <w:t xml:space="preserve">　　【曾是以為孝乎。】</w:t>
      </w:r>
      <w:r>
        <w:t xml:space="preserve"> </w:t>
      </w:r>
    </w:p>
    <w:p w14:paraId="54AEE943" w14:textId="77777777" w:rsidR="00B13128" w:rsidRDefault="00B13128">
      <w:pPr>
        <w:pStyle w:val="a3"/>
      </w:pPr>
      <w:r>
        <w:t xml:space="preserve">　　「『有事，弟子服其勞』『有酒食，先生饌』，對父母也要服勞務，有酒食也饌而有餘，但是這是對先生恭敬，這樣還可以，對父母就要加上『色難』」。</w:t>
      </w:r>
      <w:r>
        <w:t xml:space="preserve"> </w:t>
      </w:r>
    </w:p>
    <w:p w14:paraId="55379970" w14:textId="77777777" w:rsidR="00B13128" w:rsidRDefault="00B13128">
      <w:pPr>
        <w:pStyle w:val="a3"/>
      </w:pPr>
      <w:r>
        <w:t xml:space="preserve">　　「烏鴉會反哺，都能養他們的父母，唯獨鶚鳥不養父母，但是動物後來都會離開父母。人因為知禮，所以不會離開父母，即使作官，也要游必有方，人離而心不離」。人在外面，比喻現在在外面工作、出差，沒有跟父母住在一起，人這個身體離開父母，但是心始終沒有離開父母。「過年要返鄉團聚」，除夕快到了，放假了，過年要回家鄉跟父母團聚。「每逢佳節倍思親」，過年之外還有節日，譬如說中秋佳節，人在外面沒有跟父母在一起，到了節日加倍思念自己的父母親。「像狐死必正首丘」，狐狸在外地死的，牠的頭一定朝著牠住的巢穴，「天性如此，不忘根本」。「所以中國人死於外地，骨灰必定要返回家鄉，這是民族精神，不必宣傳。《禮記》說，姜太公雖然封於山東，三代卻都埋於陝西，就是全為公。人有公有私，姜尚是公而忘私」。</w:t>
      </w:r>
      <w:r>
        <w:t xml:space="preserve"> </w:t>
      </w:r>
    </w:p>
    <w:p w14:paraId="51063F51" w14:textId="77777777" w:rsidR="00B13128" w:rsidRDefault="00B13128">
      <w:pPr>
        <w:pStyle w:val="a3"/>
      </w:pPr>
      <w:r>
        <w:t xml:space="preserve">　　「漢儒依《爾雅》、《說文》而註解，不錯，只解釋其中的文字，沒有解釋書中的道理。不是《說文》就可以遵循，而是因為《說文》聚集了古代六書而作成的」。這是把遵循漢註的道理給我們交代了。就是漢儒註的雖然沒有發揮書中的道理，依</w:t>
      </w:r>
      <w:r>
        <w:lastRenderedPageBreak/>
        <w:t>《說文》來解釋，但是不會錯，所以不能把這個意思講錯了，這個是非常重要。《說文》雖然沒有發揮義理，但是他依文來註，沒有錯。</w:t>
      </w:r>
      <w:r>
        <w:t xml:space="preserve"> </w:t>
      </w:r>
    </w:p>
    <w:p w14:paraId="77B7FA43" w14:textId="77777777" w:rsidR="00B13128" w:rsidRDefault="00B13128">
      <w:pPr>
        <w:pStyle w:val="a3"/>
      </w:pPr>
      <w:r>
        <w:t xml:space="preserve">　　好，我們今天就學習到這裡。祝大家福慧增長，法喜充滿，阿彌陀佛！　　</w:t>
      </w:r>
    </w:p>
    <w:sectPr w:rsidR="00B131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0A7C2" w14:textId="77777777" w:rsidR="00B13128" w:rsidRDefault="00B13128" w:rsidP="00483D57">
      <w:r>
        <w:separator/>
      </w:r>
    </w:p>
  </w:endnote>
  <w:endnote w:type="continuationSeparator" w:id="0">
    <w:p w14:paraId="53807E31" w14:textId="77777777" w:rsidR="00B13128" w:rsidRDefault="00B13128" w:rsidP="00483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E48ED" w14:textId="77777777" w:rsidR="00B13128" w:rsidRDefault="00B13128" w:rsidP="00483D57">
      <w:r>
        <w:separator/>
      </w:r>
    </w:p>
  </w:footnote>
  <w:footnote w:type="continuationSeparator" w:id="0">
    <w:p w14:paraId="0B087812" w14:textId="77777777" w:rsidR="00B13128" w:rsidRDefault="00B13128" w:rsidP="00483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57"/>
    <w:rsid w:val="00483D57"/>
    <w:rsid w:val="007931EE"/>
    <w:rsid w:val="00B1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2A1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3D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3D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3D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3D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