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9061" w14:textId="77777777" w:rsidR="007D215B" w:rsidRDefault="007D215B">
      <w:r>
        <w:t xml:space="preserve">《每日論語》　　悟道法師主講　　（第三十九集）　　</w:t>
      </w:r>
      <w:r>
        <w:t>2018/12/26</w:t>
      </w:r>
      <w:r>
        <w:t xml:space="preserve">　　寧波　　檔名：</w:t>
      </w:r>
      <w:r>
        <w:t xml:space="preserve">WD20-037-0039 </w:t>
      </w:r>
    </w:p>
    <w:p w14:paraId="6D06B147" w14:textId="77777777" w:rsidR="007D215B" w:rsidRDefault="007D215B">
      <w:pPr>
        <w:pStyle w:val="a3"/>
      </w:pPr>
      <w:r>
        <w:t xml:space="preserve">　　諸位同學，大家早上好！我們繼續來學習雪廬老人的《論語講記》，「為政」篇第十六章。</w:t>
      </w:r>
      <w:r>
        <w:t xml:space="preserve"> </w:t>
      </w:r>
    </w:p>
    <w:p w14:paraId="34CBDB0B" w14:textId="77777777" w:rsidR="007D215B" w:rsidRDefault="007D215B">
      <w:pPr>
        <w:pStyle w:val="a3"/>
      </w:pPr>
      <w:r>
        <w:t xml:space="preserve">　　【子曰。攻乎異端。斯害也矣。】</w:t>
      </w:r>
      <w:r>
        <w:t xml:space="preserve"> </w:t>
      </w:r>
    </w:p>
    <w:p w14:paraId="0B9EFE5B" w14:textId="77777777" w:rsidR="007D215B" w:rsidRDefault="007D215B">
      <w:pPr>
        <w:pStyle w:val="a3"/>
      </w:pPr>
      <w:r>
        <w:t xml:space="preserve">　　「這一章諍論紛紛，誣罔聖人，從元末到今日，所說異端都是指佛教，吾從前學佛，也是以異端自居」。『子曰：攻乎異端，斯害也矣。』「攻，漢代何晏、梁朝皇侃都注釋為治。學叫治學、攻書。攻，治理也。范氏也是採這個說法，而且說是專治，專治一條。這個說法也通。治木、治玉、治石的工匠都叫攻，如做出桌子後，還必須平穩、上漆等等，雕之琢之，一層加一層，愈進步愈精緻。攻，《集說》當攻擊說，如『小子鳴鼓而攻之可也』。這二種解釋在這一章必須活看，要看這章文字如何說而採取哪一種解釋。好事當『治』解釋，壞事當『攻擊』解釋」。所以攻有這兩個解釋，好事跟壞事，看是對好事來講，還是對壞事。「好事有反對的，可當攻擊講，壞事有人反對也可當治講，如彎曲的木頭應該治理使它平直」。這兩方面的講法。</w:t>
      </w:r>
      <w:r>
        <w:t xml:space="preserve"> </w:t>
      </w:r>
    </w:p>
    <w:p w14:paraId="6D9095DD" w14:textId="77777777" w:rsidR="007D215B" w:rsidRDefault="007D215B">
      <w:pPr>
        <w:pStyle w:val="a3"/>
      </w:pPr>
      <w:r>
        <w:t xml:space="preserve">　　「異端，《集解》：『善道有統緒，故殊途同歸。』」在《集解》這個註解解釋異端，就是善道有統緒，故殊途同歸。「歸元無二路，方便有多門，而異端是不同歸趣的」。這個異端跟「方便有多門，歸元無二路」是不相同的旨趣，那個是不一樣的。有些方面在佛門就是八萬四千法門那是不同，但是它的目標是一樣的，這個就是方便有多門，歸元無二路。但是異端到最後，它的歸趣是不一樣的。</w:t>
      </w:r>
      <w:r>
        <w:t xml:space="preserve"> </w:t>
      </w:r>
    </w:p>
    <w:p w14:paraId="5ED230F3" w14:textId="77777777" w:rsidR="007D215B" w:rsidRDefault="007D215B">
      <w:pPr>
        <w:pStyle w:val="a3"/>
      </w:pPr>
      <w:r>
        <w:t xml:space="preserve">　　「以上是發議論。下文皇侃就事上解釋。異端指雜書，諸子百家。諸子百家暫且先別看，先讀六經。諸子的五子是讀經有餘暇必讀的書」。諸子百家有一百家，其中有五子，讀六經儒家的書以外，五子也是我們現在講課外讀書的資料。「古人用典，出自《莊子》中有一半，《莊子》出自《老子》，老子為異端，那莊子不就是異端嗎？」這是雪廬老人對註解他提出的看法，所以以前認為老子他是異端，但是古人引用典籍，出自莊子的書有一半，《莊子》是從《老子》那邊出來的，說老子是異端，那莊子不就是也是異端嗎？就這個意思。</w:t>
      </w:r>
      <w:r>
        <w:t xml:space="preserve"> </w:t>
      </w:r>
    </w:p>
    <w:p w14:paraId="40ACC93F" w14:textId="77777777" w:rsidR="007D215B" w:rsidRDefault="007D215B">
      <w:pPr>
        <w:pStyle w:val="a3"/>
      </w:pPr>
      <w:r>
        <w:t xml:space="preserve">　　「《公羊傳註》，他技奇巧為異端也」。《左傳．公羊傳》就是註解左傳的，這個裡面也有講：他技奇巧為異端也。「今日的聲光化電是真異端，奇技淫巧，對民生沒有大好處，而且會出大麻煩」。這個是指現在的科技，現在這個科技是異端，的確對民生沒有大好處，副作用太大了。「《禮記</w:t>
      </w:r>
      <w:r>
        <w:t>·</w:t>
      </w:r>
      <w:r>
        <w:t>大學註》</w:t>
      </w:r>
      <w:r>
        <w:t>(</w:t>
      </w:r>
      <w:r>
        <w:t>宋儒取出《禮記》中的《大學》、《中庸》二篇，在《禮記》中就缺這二篇文，而且《大學》、《中庸》經文前後顛倒，如此改經，這是誤人。</w:t>
      </w:r>
      <w:r>
        <w:t>)</w:t>
      </w:r>
      <w:r>
        <w:t>」這是雪廬老人給我們舉出來不能夠改經。「異端也指其他技術。《論語》後餘說，異端，他技也，即小道也。《荀子》中有非相、相面、看陰陽、算卦等都是小道，無關大體」。這個是舉出一樁事情，這方面也是異端，就是他技小道，跟大體沒有大關係的。</w:t>
      </w:r>
      <w:r>
        <w:t xml:space="preserve"> </w:t>
      </w:r>
    </w:p>
    <w:p w14:paraId="3FB1501A" w14:textId="77777777" w:rsidR="007D215B" w:rsidRDefault="007D215B">
      <w:pPr>
        <w:pStyle w:val="a3"/>
      </w:pPr>
      <w:r>
        <w:t xml:space="preserve">　　「戴東原集，端當『頭』解釋，開端就是開頭。凡事有兩頭叫做異端，學任何事，按著一頭學，要專門別亂雜，若同時學兩樣，就為害了。現今學校便是學兩頭，學若干科目，科科都不精。從前人讀書不會同時看兩種，必得溫故而知新，下午以後</w:t>
      </w:r>
      <w:r>
        <w:lastRenderedPageBreak/>
        <w:t>溫熟書。若不如此，那八月十五到冬至要上燈書，過二月二到五月端午也要上燈書」。這個補習了。「以前的讀書法，都是通本讀；再誦讀生書時，務必溫習熟書；第二天背書時先背生書，再背熟書」，背熟悉的書叫背熟書。「因為從前的書都是木刻版，趕考能帶多少書？」所以必須都背起來。「資之深，左右逢其源，下筆千言，否則李白如何能下筆千言，倚馬可待？資之深則左右逢其源的緣故」。這是雪廬老人給我們講，古時候都要背書的，因為到京城趕考，所帶的行李有限，要用的書很多，如果不背起來，那沒辦法去考試，所以都必須背起來。「朱子《集註》繼承他的老師程子的說法，認為『佛氏之言，比之楊墨尤為近理，學者當如淫聲美色以遠之。』」宋朝朱子的《集註》，他繼承他老師程子的說法，說佛氏之言，就是佛教，講得比楊子墨子更為有道理。但是怎麼樣？學者當如淫聲美色以遠之。敬而遠之，意思就是不要去學習，勸人不要學佛。「佛法既然有理又為何批評？這是宋儒偏見，認為學者應當把佛法看作淫聲美色一般離得遠遠的」。雪廬老人給我們講，宋儒有偏見，把佛法看作淫聲美色，這是宋儒的偏見。「自范氏說異端不是聖人之道，如楊墨等，程朱卻以佛為異端，而改《論語》以前的解釋，以後便有很多紛爭。學者應該詳讀</w:t>
      </w:r>
      <w:r>
        <w:t>《集釋》後段的『發明』及『按語』及《論語足徵記》，可得到簡要的結論」。</w:t>
      </w:r>
      <w:r>
        <w:t xml:space="preserve"> </w:t>
      </w:r>
    </w:p>
    <w:p w14:paraId="105AC399" w14:textId="77777777" w:rsidR="007D215B" w:rsidRDefault="007D215B">
      <w:pPr>
        <w:pStyle w:val="a3"/>
      </w:pPr>
      <w:r>
        <w:t xml:space="preserve">　　「明白以上各種解釋，依著前人的註解來說：攻乎異端有兩種解釋，攻是學習；異端是雜技小道。」「正功課耽誤」，正當的功課耽誤了，「心不能歸一，不能學得精細」。就是主要的功課沒有學習，去學一些雜技小道，會耽誤主要的功課，那主要功課就不能學得很精細。這是一種解釋。另外一種解釋，「端是兩頭，事有兩頭，先考究一邊，明白後再考究另一頭。雖然兩頭相反，也要先一頭再另一頭」。就是先看一方面。「例如先看六經，再讀五子。只知己還不可以，必須知己知彼，才能百戰百勝。孔子不但是學一端，而且學多端，所謂『有周公之才之美』。有才可多學，若無才，按著一頭學就可以了」。雪廬老人給我們講，這個端就是兩頭，我們學習，如果學儒家，可以先看六經，再讀五子，儒家以外的這些書。要知道自己，必須知己知彼，也要知道其他的，才能百戰百勝。所以孔子他不只學一端，而且學多端，好像周公一樣，周公之才之美。有才能，可多學；沒有這個才能，沒有這個天分，沒有這個天才，按著一頭學就可以，就一門深入就可以。</w:t>
      </w:r>
      <w:r>
        <w:t xml:space="preserve"> </w:t>
      </w:r>
    </w:p>
    <w:p w14:paraId="050E895F" w14:textId="77777777" w:rsidR="007D215B" w:rsidRDefault="007D215B">
      <w:pPr>
        <w:pStyle w:val="a3"/>
      </w:pPr>
      <w:r>
        <w:t xml:space="preserve">　　下面講：「一事不知儒者之恥，孔子會農、會稼、會打戰，我祭則得福；不會陣戰，如何墮三都？」孔子會兵法，墮三都就是陣戰，兵法。「夾谷會，如何我戰則克？不會稼，樊遲如何問稼於孔子？」這個稼就是農耕，農耕這些學問，孔子也懂。「必定是老師會，才跟他求學」。弟子向孔子問這些方面的道理學問，一定老師他懂，學生才會向他請問。「孔子，天文也行，否則如何說『譬如北辰』？」他也懂天文，天文地理都懂，我們沒有這些才能。</w:t>
      </w:r>
      <w:r>
        <w:t xml:space="preserve"> </w:t>
      </w:r>
    </w:p>
    <w:p w14:paraId="19B8AB40" w14:textId="77777777" w:rsidR="007D215B" w:rsidRDefault="007D215B">
      <w:pPr>
        <w:pStyle w:val="a3"/>
      </w:pPr>
      <w:r>
        <w:t xml:space="preserve">　　「學兩端，『舜執其兩端，用其中』，採取中道，非色非空。程子隨邵康節學佛，望文生義，沒有內功，他一定不懂三細六粗。格物，來了東西，動了初相；再有能所，能是知，所是境界相。韓李隨筆是宋人所假託的，沒有聽說韓愈註解四書」。雪廬老人感嘆說：「唉！宋儒講究主敬存誠，如此這誠在哪裡啊？」宋儒講究主敬存誠，自己就偏了，主敬存誠在哪裡呢？那就是宋儒攻擊佛法，學了佛沒有真正懂得佛法。這是雪廬老人給我們說明有這方面的情況，這些地方都是我們必須要細心來理解的。</w:t>
      </w:r>
      <w:r>
        <w:t xml:space="preserve"> </w:t>
      </w:r>
    </w:p>
    <w:p w14:paraId="5C8E7065" w14:textId="77777777" w:rsidR="007D215B" w:rsidRDefault="007D215B">
      <w:pPr>
        <w:pStyle w:val="a3"/>
      </w:pPr>
      <w:r>
        <w:lastRenderedPageBreak/>
        <w:t xml:space="preserve">　　「再一說：攻擊異端，自己受害，所以不許攻擊異端。」這個又是另外一個說法。這一章書自古以來註解很多，雪廬老人給我們舉出各種註解，不同的說法、解釋來給我們說明。這一章雪廬老人他分兩次來講，我們下一次再來學習雪廬老人第二次的補充說明，補充說明這個異端。因為怕大家對異端這兩個字搞不清楚，所以做了比較詳細的講解、說明。</w:t>
      </w:r>
      <w:r>
        <w:t xml:space="preserve"> </w:t>
      </w:r>
    </w:p>
    <w:p w14:paraId="5F7AAABB" w14:textId="77777777" w:rsidR="007D215B" w:rsidRDefault="007D215B">
      <w:pPr>
        <w:pStyle w:val="a3"/>
      </w:pPr>
      <w:r>
        <w:t xml:space="preserve">　　好，我們今天就先學習到這裡。祝大家福慧增長，法喜充滿，阿彌陀佛！　　</w:t>
      </w:r>
    </w:p>
    <w:sectPr w:rsidR="007D2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C56E" w14:textId="77777777" w:rsidR="007D215B" w:rsidRDefault="007D215B" w:rsidP="00D169D3">
      <w:r>
        <w:separator/>
      </w:r>
    </w:p>
  </w:endnote>
  <w:endnote w:type="continuationSeparator" w:id="0">
    <w:p w14:paraId="43C947AE" w14:textId="77777777" w:rsidR="007D215B" w:rsidRDefault="007D215B" w:rsidP="00D16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1B9A" w14:textId="77777777" w:rsidR="007D215B" w:rsidRDefault="007D215B" w:rsidP="00D169D3">
      <w:r>
        <w:separator/>
      </w:r>
    </w:p>
  </w:footnote>
  <w:footnote w:type="continuationSeparator" w:id="0">
    <w:p w14:paraId="0C8772AA" w14:textId="77777777" w:rsidR="007D215B" w:rsidRDefault="007D215B" w:rsidP="00D16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D3"/>
    <w:rsid w:val="007931EE"/>
    <w:rsid w:val="007D215B"/>
    <w:rsid w:val="00D1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50D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9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9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