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0626" w14:textId="77777777" w:rsidR="00C4266F" w:rsidRDefault="00C4266F">
      <w:r>
        <w:t xml:space="preserve">《每日論語》　　悟道法師主講　　（第四十四集）　　</w:t>
      </w:r>
      <w:r>
        <w:t>2019/1/5</w:t>
      </w:r>
      <w:r>
        <w:t xml:space="preserve">　　江蘇九龍錦江大酒店　　檔名：</w:t>
      </w:r>
      <w:r>
        <w:t xml:space="preserve">WD20-037-0044 </w:t>
      </w:r>
    </w:p>
    <w:p w14:paraId="3E92A856" w14:textId="77777777" w:rsidR="00C4266F" w:rsidRDefault="00C4266F">
      <w:pPr>
        <w:pStyle w:val="a3"/>
      </w:pPr>
      <w:r>
        <w:t xml:space="preserve">　　諸位同學，大家早上好！我們繼續來學習雪廬老人的《論語講記》「為政」篇第二十章。</w:t>
      </w:r>
      <w:r>
        <w:t xml:space="preserve"> </w:t>
      </w:r>
    </w:p>
    <w:p w14:paraId="1B50BE7D" w14:textId="77777777" w:rsidR="00C4266F" w:rsidRDefault="00C4266F">
      <w:pPr>
        <w:pStyle w:val="a3"/>
      </w:pPr>
      <w:r>
        <w:t xml:space="preserve">　　【季康子問。使民敬忠以勸。如之何。子曰。臨之以莊。則敬。孝慈則忠。舉善而教不能。則勸。】</w:t>
      </w:r>
      <w:r>
        <w:t xml:space="preserve"> </w:t>
      </w:r>
    </w:p>
    <w:p w14:paraId="03A893AF" w14:textId="77777777" w:rsidR="00C4266F" w:rsidRDefault="00C4266F">
      <w:pPr>
        <w:pStyle w:val="a3"/>
      </w:pPr>
      <w:r>
        <w:t xml:space="preserve">　　『季康子問：使民敬忠以勸，如之何？』「季康子問孔子，使民，使用老百姓，因為大夫有土地，當宰官領導人民。如何能使百姓恭敬、盡忠？若不能做到，如何能使百姓學這二條？」『子曰：臨之以莊，則敬。』「臨，在上對在下，或少數對多數叫臨，如臨山、臨水。對多數百姓與他們見面時，必須莊重，非禮勿言等，臨之以莊，對方自然對你恭敬」。『孝慈則忠』，「孝慈則忠，有人說，你上孝父母，下慈兒女，則百姓忠，此說勉強可以通而已。各種注解紛紛紜紜，黃氏後案說，孝慈則忠，諸家所注講不上來，他以為孝當作（教導的教），引導人民使人可以仿效，如引導人慈，人民自然忠。本句可以說得通，但與全文不貫通」，單單講這一句可以講得通，如果連下面的文，全部的文就不能貫通了。「而且其他本子罕見，姑且聊備一說」，其他的本子也很少看到有這樣的註解，我們知道有這一個說法就可以了。</w:t>
      </w:r>
      <w:r>
        <w:t xml:space="preserve"> </w:t>
      </w:r>
    </w:p>
    <w:p w14:paraId="753664FB" w14:textId="77777777" w:rsidR="00C4266F" w:rsidRDefault="00C4266F">
      <w:pPr>
        <w:pStyle w:val="a3"/>
      </w:pPr>
      <w:r>
        <w:t xml:space="preserve">　　「孝慈則忠，不必改字，懂文法便懂了，學文法最好學唐詩。」這是雪廬老人勸我們如果要學文法，最好先去學唐詩。「《孝經》云：夫孝，始於孝親，中於事君，終於立身』，一到社會，一做事就可以說是中（中間這個中）。《孝經》為孔所說（以經證經也）」，《孝經》是孔子說的，以這個經來證經，來互相證明。「孝子應當終於立身，立不是立志，而是立行，身有所成立。」孝子應當終於立身，立在此地是立行的意思，不是立志，身有所成立。「向上引導國君成堯舜，向下化導百姓，上致君，下澤民，以顯父母。」以上是雪廬老人引用《孝經》的話來證明孝慈則忠這一句。</w:t>
      </w:r>
      <w:r>
        <w:t xml:space="preserve"> </w:t>
      </w:r>
    </w:p>
    <w:p w14:paraId="42CCEB2B" w14:textId="77777777" w:rsidR="00C4266F" w:rsidRDefault="00C4266F">
      <w:pPr>
        <w:pStyle w:val="a3"/>
      </w:pPr>
      <w:r>
        <w:t xml:space="preserve">　　「仔細審查季康子的三個問題，都在使民，教百姓如何敬，如何忠」，教人民百姓，教他們怎麼樣能恭敬，能對國家盡忠。「如何鼓勵、勸獎百姓」，怎麼去勸導、獎勵百姓「都在使民」。「使用百姓是誰來使民？是國君，使民在君，順從國君的是人民，順從在民，君能臨民莊重，而人民自然恭敬。這一處的文法，單說國君而已，國君只要莊重便可以了。今日教人學笑，脅肩諂笑是阿諛的小人。」這是雪廬老人講，現在學笑，這是不莊重。「人民自然恭敬，一方面以孝教導人民，始於孝父母，中於孝君。教百姓孝親，首先是教孝養父母，到社會辦事自然忠君」，在家能孝養父母，到社會上來辦事，自然會忠於領導。「忠君就是孝君」，對君王、領導他能夠盡孝，「好比兒子孝順他自己的父親一樣」。「在上者是人民的父母，所以說子民，視民如子。縣官是父母官，只有七品，官不大，撫台是大官，但是稱縣官要稱老父台。若平時縣官到撫台衙門，見撫台必須跪拜。國君必得以慈面臨人民，視民如子，必須拿出當母親的態度來對百姓，文王視民如傷，那是真心。你們學直心，別彎曲。國君如父母親慈護孩子，故曰孝慈則忠，否則是犬馬路人，孟子說，君視民如犬馬，民視君如路人，毫不關心；君視民如草芥，不愛惜，民視君就如寇讎，當仇人</w:t>
      </w:r>
      <w:r>
        <w:t>。」以上這一段話，雪廬老人給我們講解，做一個領導，對他下面的人要像父母對兒女一樣，要拿出真心，下面的人他自然會孝君，他也會孝順領導。如果不是這樣，對下面的人都</w:t>
      </w:r>
      <w:r>
        <w:lastRenderedPageBreak/>
        <w:t>不關心，人民當然對領導也不會孝敬。「這一處的文法有兩方面，孝慈是一上一下，上位者教你行孝，乃至忠君，上位者就必須慈，視民如子。」</w:t>
      </w:r>
      <w:r>
        <w:t xml:space="preserve"> </w:t>
      </w:r>
    </w:p>
    <w:p w14:paraId="4A669F5F" w14:textId="77777777" w:rsidR="00C4266F" w:rsidRDefault="00C4266F">
      <w:pPr>
        <w:pStyle w:val="a3"/>
      </w:pPr>
      <w:r>
        <w:t xml:space="preserve">　　下面第三句：『舉善而教不能，則勸』。「第三句如何勸？不是自己也不是他人，指第三者，舉用那些善者，哪一人好就舉他出來，讓百姓看了效法」，舉出那個善的。「教不善者，也不說不善者不好，只要去教導他，一邊舉用善人一邊教人民，都是第三者。這一處的文法又變了，舉好人又去教不好的人，人民自然相視而勸，這是不勸而勸。」這一段雪廬老人講解，能舉出善的來教那個不善的，也不要說不善的不好，只要去舉出那個善的，讓他來學習，自然就能相視而勸，不勸而勸。「這三句三答，有直接，有雙用，有第三旁通，孔子的說法及文法，婉轉微妙，懂文法，就能講下來。」雪廬老人的每一章講解我們都需要常常反覆的來學習。</w:t>
      </w:r>
      <w:r>
        <w:t xml:space="preserve"> </w:t>
      </w:r>
    </w:p>
    <w:p w14:paraId="5DFCD5AE" w14:textId="77777777" w:rsidR="00C4266F" w:rsidRDefault="00C4266F">
      <w:pPr>
        <w:pStyle w:val="a3"/>
      </w:pPr>
      <w:r>
        <w:t xml:space="preserve">　　好，今天我們就學習到這裡。祝大家福慧增長，法喜充滿，阿彌陀佛！　　</w:t>
      </w:r>
    </w:p>
    <w:sectPr w:rsidR="00C426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0E903" w14:textId="77777777" w:rsidR="00C4266F" w:rsidRDefault="00C4266F" w:rsidP="002C2D4E">
      <w:r>
        <w:separator/>
      </w:r>
    </w:p>
  </w:endnote>
  <w:endnote w:type="continuationSeparator" w:id="0">
    <w:p w14:paraId="524B8DBB" w14:textId="77777777" w:rsidR="00C4266F" w:rsidRDefault="00C4266F" w:rsidP="002C2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B36C6" w14:textId="77777777" w:rsidR="00C4266F" w:rsidRDefault="00C4266F" w:rsidP="002C2D4E">
      <w:r>
        <w:separator/>
      </w:r>
    </w:p>
  </w:footnote>
  <w:footnote w:type="continuationSeparator" w:id="0">
    <w:p w14:paraId="511F156C" w14:textId="77777777" w:rsidR="00C4266F" w:rsidRDefault="00C4266F" w:rsidP="002C2D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4E"/>
    <w:rsid w:val="002C2D4E"/>
    <w:rsid w:val="007931EE"/>
    <w:rsid w:val="00C4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CAF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D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D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D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D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