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F1ABD" w14:textId="77777777" w:rsidR="00F53424" w:rsidRDefault="00F53424">
      <w:r>
        <w:t xml:space="preserve">每日論語　　悟道法師主講　　（第四十九集）　　</w:t>
      </w:r>
      <w:r>
        <w:t>2019/1/10</w:t>
      </w:r>
      <w:r>
        <w:t xml:space="preserve">　　台灣華藏淨宗學會　　檔名：</w:t>
      </w:r>
      <w:r>
        <w:t xml:space="preserve">WD20-037-0049 </w:t>
      </w:r>
    </w:p>
    <w:p w14:paraId="2C918A0C" w14:textId="77777777" w:rsidR="00F53424" w:rsidRDefault="00F53424">
      <w:pPr>
        <w:pStyle w:val="a3"/>
      </w:pPr>
      <w:r>
        <w:t xml:space="preserve">　　諸位同學，大家早上好！我們繼續來學習雪廬老人《論語講記》，「八佾篇」第一章。</w:t>
      </w:r>
      <w:r>
        <w:t xml:space="preserve"> </w:t>
      </w:r>
    </w:p>
    <w:p w14:paraId="6669A97A" w14:textId="77777777" w:rsidR="00F53424" w:rsidRDefault="00F53424">
      <w:pPr>
        <w:pStyle w:val="a3"/>
      </w:pPr>
      <w:r>
        <w:t xml:space="preserve">　　【孔子謂季氏。八佾舞於庭。是可忍也。孰不可忍也。】</w:t>
      </w:r>
      <w:r>
        <w:t xml:space="preserve"> </w:t>
      </w:r>
    </w:p>
    <w:p w14:paraId="7E979338" w14:textId="77777777" w:rsidR="00F53424" w:rsidRDefault="00F53424">
      <w:pPr>
        <w:pStyle w:val="a3"/>
      </w:pPr>
      <w:r>
        <w:t xml:space="preserve">　　「後面的鄉黨篇，不能說，是孔子飲食起居的事情，縱使會了，也用不出來，所以不說。」這一段雪廬老人首先給我們講後面「鄉黨」這一篇，我們今天學的這篇是「八佾篇」。這裡先給我們交代，後面「鄉黨」有關孔子飲食起居的事情不說，因為縱使我們會了，在現代也用不出來，所以就不說了。「書中所說，不是單指在上位的人或在下位的人，而是一體萬用，可對上也可對下，必須能舉一反三。」這一段給我們特別提出來，這一章書所說的，不是單單指在上面做官有地位的人，或者是指在下位的人，可以對上也可以對下，所以我們必須要能舉一反三。這個意思也就是所有的人都包含在裡面，一體萬用。所以舉出一個例子，並不是單單對一個人。「你們必須記住，這些話現今的人不在乎，若不在乎，那就可預知未來的結果了。凡事有因、緣、果，作善降之百祥，作不善降之百殃，這是真正中國文化，講民族主義。西洋人說的話有他的內容，今人用他的名詞，但是不了解他的真義，用中國語說西洋物，望文生義，社會必將混亂。」這是現代中國人普遍的現象，雪廬老人給我們舉出來。「學哲學必須學中國哲學，學莊子也可以。公孫龍的白馬非馬，學這些只會增多怪脾氣而已。白馬非馬，這是分別觀。若說天地一指，萬物一馬，就是圓融觀，</w:t>
      </w:r>
      <w:r>
        <w:t>色即是空，空即是色。我們凡事不要悲觀也不要樂觀，我們是人，一切可以盡其在我，幹什麼像什麼，我們都是在夢中，在戲中。我們學佛多年，仍看不出好現相來，因為人格還不足的緣故。我們在五乘之中，人格尚且不夠，天尚且不能升，其實人身也保不住，若能保住人」，保住人格，「來修淨土，求往生就可以了，一定要專精執持這一法門，不要腳踏兩隻船。」這一段雪廬老人給我們說明，我們學習先要有人格，保住人的資格，這樣來修淨土，求往生就可以。一定要執持淨土法門，不要腳踏兩條船。學習都要圓融，不能學得怪怪的。</w:t>
      </w:r>
      <w:r>
        <w:t xml:space="preserve"> </w:t>
      </w:r>
    </w:p>
    <w:p w14:paraId="17F7CCBF" w14:textId="77777777" w:rsidR="00F53424" w:rsidRDefault="00F53424">
      <w:pPr>
        <w:pStyle w:val="a3"/>
      </w:pPr>
      <w:r>
        <w:t xml:space="preserve">　　「你們學《論語》，對你們學佛幫助很大。做人的根本，凡是初皈依印祖，印祖都開示要諸惡莫作，眾善奉行，敦倫盡分，自行化他；再來就是誠心念佛，求生西方。」這是舉出印光祖師對念佛人的開示。「敦倫盡分是中國文化，真學問自五倫始。」真正學問從五倫開始。「五倫有十義。敦是敦厚、加厚、篤誠，很簡單卻做不到；盡分，盡自己的職分。」自己本身的職務、本分，要盡到。「范文正公每天反省，一天所做的事若不及所領的俸祿，必須第二天補足，這一點你們好好想。」這裡舉出范文正公的一個例子。</w:t>
      </w:r>
      <w:r>
        <w:t xml:space="preserve"> </w:t>
      </w:r>
    </w:p>
    <w:p w14:paraId="1876898A" w14:textId="77777777" w:rsidR="00F53424" w:rsidRDefault="00F53424">
      <w:pPr>
        <w:pStyle w:val="a3"/>
      </w:pPr>
      <w:r>
        <w:t xml:space="preserve">　　「周成王年幼，周公攝政，全國都以為周公不懷好心，欺負小孩。等到成王長大，周公將大位還給成王。周公死後，成王感念周公的大德無法報答，周公既為文王的兒子，武王的弟弟，成王的叔叔，成王就以天子的禮祭祀他。」就是周公過世後，成王為了感恩周公，就用天子的禮來給他祭祀。「其實不可以如此，但是魯也不能推辭。」這個是講八佾舞只能用於天子。成王感恩周公，周公不是天子，他也用八佾舞來祭祀他。「伯禽為周公的兒子，祭周公用天子禮，但是周公以外的國君如何可以用天子禮？」這一段是講祭祀周公用天子禮，周公以外的國君怎麼可以用天子的禮？這</w:t>
      </w:r>
      <w:r>
        <w:lastRenderedPageBreak/>
        <w:t>是不對的，不如法的。「伯禽還有兄弟，傳到後來，魯的後代嫡長子這一支以外還有仲、叔、季，因為伯禽這一支用天子禮祭周公，三家祭他們的祖先也用天子禮。後來三家把持魯國政治，若在金錢、土地上爭還可以，若爭用天子的禮樂就不可以。」這個是講跟天子用同樣的禮樂那就不可以，就亂了。</w:t>
      </w:r>
      <w:r>
        <w:t xml:space="preserve"> </w:t>
      </w:r>
    </w:p>
    <w:p w14:paraId="168737EB" w14:textId="77777777" w:rsidR="00F53424" w:rsidRDefault="00F53424">
      <w:pPr>
        <w:pStyle w:val="a3"/>
      </w:pPr>
      <w:r>
        <w:t xml:space="preserve">　　『孔子謂季氏，八佾舞於庭。』「八佾，吾幼年曾見八佾。」雪廬老人說他幼年的時候見過八佾舞。現在孔廟祭孔都是用六佾舞，天子以下諸侯要用六佾，不能用八佾。八俏「每行八人，有八行，八八六十四」。「吾見曲阜的祭孔，天子禮八佾，諸侯六佾，大夫四佾。」「季氏祭他的祖先也用八佾」，這個是不對的。</w:t>
      </w:r>
      <w:r>
        <w:t xml:space="preserve"> </w:t>
      </w:r>
    </w:p>
    <w:p w14:paraId="5C790278" w14:textId="77777777" w:rsidR="00F53424" w:rsidRDefault="00F53424">
      <w:pPr>
        <w:pStyle w:val="a3"/>
      </w:pPr>
      <w:r>
        <w:t xml:space="preserve">　　『是可忍也，孰不可忍也。』「是可忍也，孰不可忍也，有二說，都合理，都可採取。」這個有兩種說法，也都可以採取。「這件事季氏能忍心如此幹，忍指季氏而言，還有什麼不好的事能忍心不幹？這是犯上作亂的事。」這是一種解釋。就是指季氏怎麼忍心幹這個事情，這個事情都忍心幹了，那還有什麼事情不能幹的？這個是犯上作亂，不是天子，用天子的禮來祭祀祖先。「另一解釋，忍指在位有權力可以管者，這件事能忍著不管，什麼事不能忍心不管？」這是另外一個解釋，解釋這件事他都能忍著不去管，那其他還有什麼事情不能忍心不管？意思就是說其他很多事情也是可以忍著不管了。這是又一種說法，兩種都可以採取。</w:t>
      </w:r>
      <w:r>
        <w:t xml:space="preserve"> </w:t>
      </w:r>
    </w:p>
    <w:p w14:paraId="2960961A" w14:textId="77777777" w:rsidR="00F53424" w:rsidRDefault="00F53424">
      <w:pPr>
        <w:pStyle w:val="a3"/>
      </w:pPr>
      <w:r>
        <w:t xml:space="preserve">　　「這一章教我們敦倫盡分，不在其位，不謀其政。」那這個非常重要，這個就是要守本分。這個我們每個人都要學，我們自己不在那個地位，就不能越分去干涉做那些事情。人總是要守本分。</w:t>
      </w:r>
      <w:r>
        <w:t xml:space="preserve"> </w:t>
      </w:r>
    </w:p>
    <w:p w14:paraId="796B3B7C" w14:textId="77777777" w:rsidR="00F53424" w:rsidRDefault="00F53424">
      <w:pPr>
        <w:pStyle w:val="a3"/>
      </w:pPr>
      <w:r>
        <w:t xml:space="preserve">　　好，今天這章書我們就學到這裡。祝大家福慧增長，法喜充滿，阿彌陀佛！　　</w:t>
      </w:r>
    </w:p>
    <w:sectPr w:rsidR="00F534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5B80D" w14:textId="77777777" w:rsidR="00F53424" w:rsidRDefault="00F53424" w:rsidP="004C5429">
      <w:r>
        <w:separator/>
      </w:r>
    </w:p>
  </w:endnote>
  <w:endnote w:type="continuationSeparator" w:id="0">
    <w:p w14:paraId="3548787D" w14:textId="77777777" w:rsidR="00F53424" w:rsidRDefault="00F53424" w:rsidP="004C5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84A3" w14:textId="77777777" w:rsidR="00F53424" w:rsidRDefault="00F53424" w:rsidP="004C5429">
      <w:r>
        <w:separator/>
      </w:r>
    </w:p>
  </w:footnote>
  <w:footnote w:type="continuationSeparator" w:id="0">
    <w:p w14:paraId="7ADBA97A" w14:textId="77777777" w:rsidR="00F53424" w:rsidRDefault="00F53424" w:rsidP="004C5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29"/>
    <w:rsid w:val="004C5429"/>
    <w:rsid w:val="007931EE"/>
    <w:rsid w:val="00F5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BD3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54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54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54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54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