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4513" w14:textId="77777777" w:rsidR="002F47B7" w:rsidRDefault="002F47B7">
      <w:r>
        <w:t xml:space="preserve">每日論語　　悟道法師主講　　（第六十二集）　　</w:t>
      </w:r>
      <w:r>
        <w:t>2019/1/23</w:t>
      </w:r>
      <w:r>
        <w:t xml:space="preserve">　　台灣華藏淨宗學會　　檔名：</w:t>
      </w:r>
      <w:r>
        <w:t xml:space="preserve">WD20-037-0062 </w:t>
      </w:r>
    </w:p>
    <w:p w14:paraId="44FCB7D4" w14:textId="77777777" w:rsidR="002F47B7" w:rsidRDefault="002F47B7">
      <w:pPr>
        <w:pStyle w:val="a3"/>
      </w:pPr>
      <w:r>
        <w:t xml:space="preserve">　　諸位同學，大家早上好！我們繼續來學習雪廬老人的《論語講記》，「八佾篇」第十三章。</w:t>
      </w:r>
      <w:r>
        <w:t xml:space="preserve"> </w:t>
      </w:r>
    </w:p>
    <w:p w14:paraId="2E251642" w14:textId="77777777" w:rsidR="002F47B7" w:rsidRDefault="002F47B7">
      <w:pPr>
        <w:pStyle w:val="a3"/>
      </w:pPr>
      <w:r>
        <w:t xml:space="preserve">　　【王孫賈問曰。與其媚於奧。寧媚於灶。何謂也。子曰。不然。獲罪於天。無所禱也。】</w:t>
      </w:r>
      <w:r>
        <w:t xml:space="preserve"> </w:t>
      </w:r>
    </w:p>
    <w:p w14:paraId="5FD3BE70" w14:textId="77777777" w:rsidR="002F47B7" w:rsidRDefault="002F47B7">
      <w:pPr>
        <w:pStyle w:val="a3"/>
      </w:pPr>
      <w:r>
        <w:t xml:space="preserve">　　「我們的筆很拙，若是我們來寫，必定先敘述一段事實。但是這章經文一上來說王孫賈問，怎麼回事，下文便有解答。」</w:t>
      </w:r>
      <w:r>
        <w:t xml:space="preserve"> </w:t>
      </w:r>
    </w:p>
    <w:p w14:paraId="593DAE12" w14:textId="77777777" w:rsidR="002F47B7" w:rsidRDefault="002F47B7">
      <w:pPr>
        <w:pStyle w:val="a3"/>
      </w:pPr>
      <w:r>
        <w:t xml:space="preserve">　　『王孫賈問曰：與其媚於奧，寧媚於灶，何謂也？』「這句與其媚於奧，寧媚於灶，不是王孫賈的言語，或許是古人的話，或者是古言語。若王孫賈自己的話，必不如此說。只有師長對下輩可以這樣說：何謂也？朋友平輩尚且不可，對上輩更不可以。」雪廬老人跟我們講，這段話講話的口氣，可能是其他的人講的。</w:t>
      </w:r>
      <w:r>
        <w:t xml:space="preserve"> </w:t>
      </w:r>
    </w:p>
    <w:p w14:paraId="2E4BCB25" w14:textId="77777777" w:rsidR="002F47B7" w:rsidRDefault="002F47B7">
      <w:pPr>
        <w:pStyle w:val="a3"/>
      </w:pPr>
      <w:r>
        <w:t xml:space="preserve">　　「孔子在衛國，值逢靈公的時候，靈公非常恭維孔子，但是沒有讓孔子出仕做官。」對孔子很恭敬，但是靈公並沒有請孔子出來做官。「南子」，靈公的夫人，「召見孔子，想借孔子的名聲，其實另有私心。何以見得？否則何必邀孔子一起出來遊街？」南子請孔子跟她一起出來遊街，就是要借孔子的名聲，其實這個就是有私心了。要利用孔子名聲，所以請他一起出來遊街，讓大家都知道她請了孔子。所以雪廬老人這裡解釋，如果沒有私心，何必邀孔子一起出來遊街？都是要讓人家知道，她請了孔子。「這一件事有人了解，有人不了解，子路就不高興。王孫賈，何許人也？他自然了解。王孫賈這個人極會鑽營，靈公極聽信他，凡事以死的因果來權衡，但是這一次他就誤會了。」</w:t>
      </w:r>
      <w:r>
        <w:t xml:space="preserve"> </w:t>
      </w:r>
    </w:p>
    <w:p w14:paraId="2CBD25C8" w14:textId="77777777" w:rsidR="002F47B7" w:rsidRDefault="002F47B7">
      <w:pPr>
        <w:pStyle w:val="a3"/>
      </w:pPr>
      <w:r>
        <w:t xml:space="preserve">　　「這個時候孔子沒有出仕，王孫賈以為孔子是走內線求官，所以問：你想做官，沒找對路線，找南子行嗎？但是不能直言：你怎麼放著我王孫賈呢？所以用比喻。」王孫賈誤會了，看到靈公的夫人南子請孔子出來遊街，他以為孔子因為靈公不舉用他出來做官，就找南子，希望通過南子給靈公講，請他出來做官。王孫賈這次對孔子就產生誤會了，以為孔子是要通過南子求個官位，所以這裡用比喻來講。「從前居家坐北朝南，西南角是房子最尊貴的地處。」西南角是房子最尊貴的地方。「又有人說家有主祀的神，叫奧神，是住宅的神。」就是這個家最大的住宅的神。「又家中必有灶」，古時候家家都有灶，煮飯、燒菜都用灶。「有灶王，今日已撤差了」，現在用灶的人就很少了。家裡面這個神，奧神最大。「灶王最小」，雖然小，「但是權力大，他生火才能吃飯」，不生火就無法煮飯吃了。「媚，巴結人，說好話求人。當時有句諺語，與其巴結奧神，官位大，還不如巴結灶神呢？就如唱戲的說：閻王好見，小鬼難纏。要送紅包，先拉線。王孫賈假裝不懂，問孔子。」</w:t>
      </w:r>
      <w:r>
        <w:t xml:space="preserve"> </w:t>
      </w:r>
    </w:p>
    <w:p w14:paraId="6F5F2D3D" w14:textId="77777777" w:rsidR="002F47B7" w:rsidRDefault="002F47B7">
      <w:pPr>
        <w:pStyle w:val="a3"/>
      </w:pPr>
      <w:r>
        <w:t xml:space="preserve">　　『子曰：不然，獲罪於天。無所禱也。』「孔子也明白，答話也裝糊塗。辦事答話，靠平常練習，要當機立斷。你說的話，不對不對。怎麼不對？對方不問也可以解釋。若得罪了最高的天，向誰去求禱呢？」</w:t>
      </w:r>
      <w:r>
        <w:t xml:space="preserve"> </w:t>
      </w:r>
    </w:p>
    <w:p w14:paraId="31577738" w14:textId="77777777" w:rsidR="002F47B7" w:rsidRDefault="002F47B7">
      <w:pPr>
        <w:pStyle w:val="a3"/>
      </w:pPr>
      <w:r>
        <w:lastRenderedPageBreak/>
        <w:t xml:space="preserve">　　「這話一點也不錯，必須分治世亂世。你們到機關做事，受過教育，知道貪贓枉法不好。若到任以後才知道長官貪贓枉法，這雖是長官的事，你也要有眼力，長官多少要拉攏你，或給予你利益，他以為天下人都好利。如果你一上來不接受，但是你是部下，接受了又良心不安，怎麼辦？財是糊塗蟲，賊怕第一次，久了就成習氣。這時必須當機立斷，一走了之，否則破家敗名。這只是世法花報而已，還有果報呢！脫得陽間罪，如何能脫得陰間罪？」以上雪廬老人給我們解釋，也舉出現在到公家機關做官必定要守法。</w:t>
      </w:r>
      <w:r>
        <w:t xml:space="preserve"> </w:t>
      </w:r>
    </w:p>
    <w:p w14:paraId="03857524" w14:textId="77777777" w:rsidR="002F47B7" w:rsidRDefault="002F47B7">
      <w:pPr>
        <w:pStyle w:val="a3"/>
      </w:pPr>
      <w:r>
        <w:t xml:space="preserve">　　好，這章書我們就學到這裡，現在和行道德講堂也有做文字稿，大家重複的看看這段雪廬老人的講解，好好揣摩，大家必定會有很好的心得。</w:t>
      </w:r>
      <w:r>
        <w:t xml:space="preserve"> </w:t>
      </w:r>
    </w:p>
    <w:p w14:paraId="31EB98BB" w14:textId="77777777" w:rsidR="002F47B7" w:rsidRDefault="002F47B7">
      <w:pPr>
        <w:pStyle w:val="a3"/>
      </w:pPr>
      <w:r>
        <w:t xml:space="preserve">　　好，祝大家福慧增長，法喜充滿，阿彌陀佛！　　</w:t>
      </w:r>
    </w:p>
    <w:sectPr w:rsidR="002F47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B7E15" w14:textId="77777777" w:rsidR="002F47B7" w:rsidRDefault="002F47B7" w:rsidP="00AA516E">
      <w:r>
        <w:separator/>
      </w:r>
    </w:p>
  </w:endnote>
  <w:endnote w:type="continuationSeparator" w:id="0">
    <w:p w14:paraId="6CF60950" w14:textId="77777777" w:rsidR="002F47B7" w:rsidRDefault="002F47B7" w:rsidP="00AA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63F4" w14:textId="77777777" w:rsidR="002F47B7" w:rsidRDefault="002F47B7" w:rsidP="00AA516E">
      <w:r>
        <w:separator/>
      </w:r>
    </w:p>
  </w:footnote>
  <w:footnote w:type="continuationSeparator" w:id="0">
    <w:p w14:paraId="334D0976" w14:textId="77777777" w:rsidR="002F47B7" w:rsidRDefault="002F47B7" w:rsidP="00AA5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6E"/>
    <w:rsid w:val="002F47B7"/>
    <w:rsid w:val="007931EE"/>
    <w:rsid w:val="00AA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346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1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1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1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1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