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BF38" w14:textId="77777777" w:rsidR="00F025D1" w:rsidRDefault="00F025D1">
      <w:r>
        <w:t xml:space="preserve">每日論語　　悟道法師主講　　（第七十二集）　　</w:t>
      </w:r>
      <w:r>
        <w:t>2019/2/2</w:t>
      </w:r>
      <w:r>
        <w:t xml:space="preserve">　　台灣華藏淨宗學會　　檔名：</w:t>
      </w:r>
      <w:r>
        <w:t xml:space="preserve">WD20-037-0072 </w:t>
      </w:r>
    </w:p>
    <w:p w14:paraId="696CA6E0" w14:textId="77777777" w:rsidR="00F025D1" w:rsidRDefault="00F025D1">
      <w:pPr>
        <w:pStyle w:val="a3"/>
      </w:pPr>
      <w:r>
        <w:t xml:space="preserve">　　諸位同學，大家早上好！我們繼續來學習雪廬老人的《論語講記》，「八佾篇」第二十三章。</w:t>
      </w:r>
      <w:r>
        <w:t xml:space="preserve"> </w:t>
      </w:r>
    </w:p>
    <w:p w14:paraId="084ACFFF" w14:textId="77777777" w:rsidR="00F025D1" w:rsidRDefault="00F025D1">
      <w:pPr>
        <w:pStyle w:val="a3"/>
      </w:pPr>
      <w:r>
        <w:t xml:space="preserve">　　【子語魯大師樂曰。樂其可知也。始作。翕如也。從之。純如也。皦如也。繹如也。以成。】</w:t>
      </w:r>
      <w:r>
        <w:t xml:space="preserve"> </w:t>
      </w:r>
    </w:p>
    <w:p w14:paraId="391A1D57" w14:textId="77777777" w:rsidR="00F025D1" w:rsidRDefault="00F025D1">
      <w:pPr>
        <w:pStyle w:val="a3"/>
      </w:pPr>
      <w:r>
        <w:t xml:space="preserve">　　『子語魯大師樂曰：樂其可知也。』「大師的大，音如字，音太、大，都可通。樂師有大師、小師的分別。朱子改成太（三公中一）」，三公當中的一個，「其實是大」。「孔子自衛反魯，訂禮樂」，孔子從衛國返回魯國，開始制禮作樂。</w:t>
      </w:r>
      <w:r>
        <w:t xml:space="preserve"> </w:t>
      </w:r>
    </w:p>
    <w:p w14:paraId="39E452D2" w14:textId="77777777" w:rsidR="00F025D1" w:rsidRDefault="00F025D1">
      <w:pPr>
        <w:pStyle w:val="a3"/>
      </w:pPr>
      <w:r>
        <w:t xml:space="preserve">　　以下雪廬老人再給我們講，「你們寒假可看阮元十三經注疏的《詩經》。先有樂，再有禮。七情都不是正常的態度，所以天下大亂。《中庸》說：喜怒哀樂發而皆中節。七情要用禮來節制，病由於七情，愛為主因，有愛才有喜，不愛就惡」，厭惡。「因為愛，有人來討取便發怒」，有人來討來取，因為愛這個東西，那就生氣了。「故《楞嚴經》說：愛為生死本」，愛是生死的根本。「樂能調和七情，使心情中正和平。」「這一章很難講，因為現在的熱門音樂，靡靡之音，都是令人死的音樂。」</w:t>
      </w:r>
      <w:r>
        <w:t xml:space="preserve"> </w:t>
      </w:r>
    </w:p>
    <w:p w14:paraId="074A0F52" w14:textId="77777777" w:rsidR="00F025D1" w:rsidRDefault="00F025D1">
      <w:pPr>
        <w:pStyle w:val="a3"/>
      </w:pPr>
      <w:r>
        <w:t xml:space="preserve">　　『始作，翕如也。』「始作，開始演奏。奏樂不是一種樂器，例如平劇有連奏，祭廟為合奏，又例如祭孔有歌詞，唱大哉孔子。各種樂器都必須同一個音，如琴用宮，其餘樂器也必須用宮，笙則是連續不斷，其他樂器則有板眼。」「翕，鳥的翅膀有兩個，兩個翅膀合飛為翕。剛演奏時，如鳥的翅膀原來是止靜的，演奏以後才徐徐奏出。」</w:t>
      </w:r>
      <w:r>
        <w:t xml:space="preserve"> </w:t>
      </w:r>
    </w:p>
    <w:p w14:paraId="3F3A65C6" w14:textId="77777777" w:rsidR="00F025D1" w:rsidRDefault="00F025D1">
      <w:pPr>
        <w:pStyle w:val="a3"/>
      </w:pPr>
      <w:r>
        <w:t xml:space="preserve">　　『從之，純如也。』「從之，純如也。從，音樂發展開後。例如吟詩首句不入韻，到第二句才合起來。純，絲清一色為純，樂曲一放開後，笙管琴瑟都是一個音。吹宮，就都是宮，不是一種樂器吹一個調，但是有笙管簫笛的不同。若說是異，則所有樂器卻都是同一調，例如商調，所有樂器都奏商。音樂的道理，只可與知者說，所以孔子說：民可使由之，不可使知之。」</w:t>
      </w:r>
      <w:r>
        <w:t xml:space="preserve"> </w:t>
      </w:r>
    </w:p>
    <w:p w14:paraId="3E5F447B" w14:textId="77777777" w:rsidR="00F025D1" w:rsidRDefault="00F025D1">
      <w:pPr>
        <w:pStyle w:val="a3"/>
      </w:pPr>
      <w:r>
        <w:t xml:space="preserve">　　『皦如也。』「皦如也，有如日的潔白，又如石的清楚，雖然同一調，但是各樂器的音都不同，明明白白，清清楚楚。」</w:t>
      </w:r>
      <w:r>
        <w:t xml:space="preserve"> </w:t>
      </w:r>
    </w:p>
    <w:p w14:paraId="67D2FD92" w14:textId="77777777" w:rsidR="00F025D1" w:rsidRDefault="00F025D1">
      <w:pPr>
        <w:pStyle w:val="a3"/>
      </w:pPr>
      <w:r>
        <w:t xml:space="preserve">　　『繹如也。以成。』「繹如也，繹，抽絲。絲愈抽愈長，綿綿不斷；音樂演奏到最後有尾聲，唱了尾聲，還要絃外有音，餘音裊裊」，這個裊就是柔和。「做人、說話、做事、對朋友，都可依這個辦法。朋友久而敬之，朋友數，斯疏矣」，這個數就是交往很頻繁，就會疏遠。「要留空間，死後仍是朋友。如杜甫對待鄭虔的詩云：九重泉下盡交期。不能同年同月生，但願同年同月死，就是繹如也。做事也是如此，要圖長遠，例如諸葛臨死時，還安排蜀漢的國事，就是要綿綿不絕。」</w:t>
      </w:r>
      <w:r>
        <w:t xml:space="preserve"> </w:t>
      </w:r>
    </w:p>
    <w:p w14:paraId="2456B08B" w14:textId="77777777" w:rsidR="00F025D1" w:rsidRDefault="00F025D1">
      <w:pPr>
        <w:pStyle w:val="a3"/>
      </w:pPr>
      <w:r>
        <w:t xml:space="preserve">　　好，這一章我們就學習到這裡，祝大家福慧增長，法喜充滿，阿彌陀佛！　　</w:t>
      </w:r>
    </w:p>
    <w:sectPr w:rsidR="00F025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17F4" w14:textId="77777777" w:rsidR="00F025D1" w:rsidRDefault="00F025D1" w:rsidP="00214A6C">
      <w:r>
        <w:separator/>
      </w:r>
    </w:p>
  </w:endnote>
  <w:endnote w:type="continuationSeparator" w:id="0">
    <w:p w14:paraId="6EEE083E" w14:textId="77777777" w:rsidR="00F025D1" w:rsidRDefault="00F025D1" w:rsidP="002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23B6" w14:textId="77777777" w:rsidR="00F025D1" w:rsidRDefault="00F025D1" w:rsidP="00214A6C">
      <w:r>
        <w:separator/>
      </w:r>
    </w:p>
  </w:footnote>
  <w:footnote w:type="continuationSeparator" w:id="0">
    <w:p w14:paraId="3D24044B" w14:textId="77777777" w:rsidR="00F025D1" w:rsidRDefault="00F025D1" w:rsidP="00214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6C"/>
    <w:rsid w:val="00214A6C"/>
    <w:rsid w:val="007931EE"/>
    <w:rsid w:val="00F0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26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