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58EC" w14:textId="77777777" w:rsidR="006E5A43" w:rsidRDefault="006E5A43">
      <w:r>
        <w:t xml:space="preserve">每日論語　　悟道法師主講　　（第七十九集）　　</w:t>
      </w:r>
      <w:r>
        <w:t>2019/2/9</w:t>
      </w:r>
      <w:r>
        <w:t xml:space="preserve">　　台灣華藏淨宗學會　　檔名</w:t>
      </w:r>
      <w:r>
        <w:t xml:space="preserve">:WD20-037-0079 </w:t>
      </w:r>
    </w:p>
    <w:p w14:paraId="2BC80CE2" w14:textId="77777777" w:rsidR="006E5A43" w:rsidRDefault="006E5A43">
      <w:pPr>
        <w:pStyle w:val="a3"/>
      </w:pPr>
      <w:r>
        <w:t xml:space="preserve">　　諸位同學，大家早上好！我們繼續來學習雪廬老人的《論語講記》，「里仁篇」第四章。</w:t>
      </w:r>
      <w:r>
        <w:t xml:space="preserve"> </w:t>
      </w:r>
    </w:p>
    <w:p w14:paraId="34A307F4" w14:textId="77777777" w:rsidR="006E5A43" w:rsidRDefault="006E5A43">
      <w:pPr>
        <w:pStyle w:val="a3"/>
      </w:pPr>
      <w:r>
        <w:t xml:space="preserve">　　【子曰。苟志於仁矣。無惡也。】</w:t>
      </w:r>
      <w:r>
        <w:t xml:space="preserve"> </w:t>
      </w:r>
    </w:p>
    <w:p w14:paraId="6D74EAEA" w14:textId="77777777" w:rsidR="006E5A43" w:rsidRDefault="006E5A43">
      <w:pPr>
        <w:pStyle w:val="a3"/>
      </w:pPr>
      <w:r>
        <w:t xml:space="preserve">　　『子曰：苟志於仁矣』，「苟志於仁，孔子自己是志於道，教人沒有說要志於道，而是教人志於仁，以仁為志向，若教他的學生都要志於道，那很多學生就不能學了。」「苟，假若。假若建立起志向，從此不離開，執持仁字」。</w:t>
      </w:r>
      <w:r>
        <w:t xml:space="preserve"> </w:t>
      </w:r>
    </w:p>
    <w:p w14:paraId="3964F397" w14:textId="77777777" w:rsidR="006E5A43" w:rsidRDefault="006E5A43">
      <w:pPr>
        <w:pStyle w:val="a3"/>
      </w:pPr>
      <w:r>
        <w:t xml:space="preserve">　　『無惡也。』「無惡矣，若惡，音烏平聲，當如何講。音勿去聲，入聲音惡，朱注採取入聲惡，解釋為：如此就無惡事了。這是廢話，因為有仁自然就無惡事了，比如人已經吃飽了，何須再問吃了沒有？」</w:t>
      </w:r>
      <w:r>
        <w:t xml:space="preserve"> </w:t>
      </w:r>
    </w:p>
    <w:p w14:paraId="70E1C6F0" w14:textId="77777777" w:rsidR="006E5A43" w:rsidRDefault="006E5A43">
      <w:pPr>
        <w:pStyle w:val="a3"/>
      </w:pPr>
      <w:r>
        <w:t xml:space="preserve">　　「在此應念惡，若志於仁則仁慈，就沒有患惡的人了。對好人嘉勉他，對壞人勸他改過，不願捨棄他」。</w:t>
      </w:r>
      <w:r>
        <w:t xml:space="preserve"> </w:t>
      </w:r>
    </w:p>
    <w:p w14:paraId="2099D249" w14:textId="77777777" w:rsidR="006E5A43" w:rsidRDefault="006E5A43">
      <w:pPr>
        <w:pStyle w:val="a3"/>
      </w:pPr>
      <w:r>
        <w:t xml:space="preserve">　　「這一章與上一章不矛盾，社會上的人不是如此，凡夫對惡人是拒絕他，聖人對惡人是不忍心捨棄，希望他變好，例如父母打罵子女，都是出自仁心，這是佛家的平等心。就像有人學佛，佛不喜，」佛沒有歡喜；「有人謗佛，佛也不瞋」，有人去誹謗佛，佛也不生氣。「佛如檀木，頭上頂著或是腳踩著，都能染香，佛都不在乎，因為佛是無緣大慈，同體大悲。佛教徒修養不足，不能做到這一層，只會說這個話而已。儒者只知文字，不懂得道，所以也不會說」。</w:t>
      </w:r>
      <w:r>
        <w:t xml:space="preserve"> </w:t>
      </w:r>
    </w:p>
    <w:p w14:paraId="4824FFFA" w14:textId="77777777" w:rsidR="006E5A43" w:rsidRDefault="006E5A43">
      <w:pPr>
        <w:pStyle w:val="a3"/>
      </w:pPr>
      <w:r>
        <w:t xml:space="preserve">　　「孔子有教無類，互鄉難與言，童子見，這位互鄉的童子來求孔子，孔子也見，要教他變好。」互鄉童子是很壞的，求見孔子，孔子也接見，他來請教，孔子也教他，主要還是希望他能夠變好。所以孔子沒有拒絕。「至於離開孔子以後，變好或變壞，誰也管不了，蓋棺才可以論定」。</w:t>
      </w:r>
      <w:r>
        <w:t xml:space="preserve"> </w:t>
      </w:r>
    </w:p>
    <w:p w14:paraId="4E7D0245" w14:textId="77777777" w:rsidR="006E5A43" w:rsidRDefault="006E5A43">
      <w:pPr>
        <w:pStyle w:val="a3"/>
      </w:pPr>
      <w:r>
        <w:t xml:space="preserve">　　「吾見好人恭敬，見壞人遠離，這就是吾的毛病。行道的人要先度壞人，因為壞人會危害社會的緣故。有人問：那你為什麼不先度他？因為吾心裡惡之，有這種心，臨終便有障礙。孔子就不是如此，壞地方的壞孩子來請教，孔子也教他。」這是我們要向孔子學的地方。</w:t>
      </w:r>
      <w:r>
        <w:t xml:space="preserve"> </w:t>
      </w:r>
    </w:p>
    <w:p w14:paraId="2CCCF2D9" w14:textId="77777777" w:rsidR="006E5A43" w:rsidRDefault="006E5A43">
      <w:pPr>
        <w:pStyle w:val="a3"/>
      </w:pPr>
      <w:r>
        <w:t xml:space="preserve">　　好，這章書我們就學習到這裡。祝大家福慧增長，法喜充滿，阿彌陀佛！　　</w:t>
      </w:r>
    </w:p>
    <w:sectPr w:rsidR="006E5A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3E5C3" w14:textId="77777777" w:rsidR="006E5A43" w:rsidRDefault="006E5A43" w:rsidP="00880D1D">
      <w:r>
        <w:separator/>
      </w:r>
    </w:p>
  </w:endnote>
  <w:endnote w:type="continuationSeparator" w:id="0">
    <w:p w14:paraId="3A45A367" w14:textId="77777777" w:rsidR="006E5A43" w:rsidRDefault="006E5A43" w:rsidP="00880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BE95D" w14:textId="77777777" w:rsidR="006E5A43" w:rsidRDefault="006E5A43" w:rsidP="00880D1D">
      <w:r>
        <w:separator/>
      </w:r>
    </w:p>
  </w:footnote>
  <w:footnote w:type="continuationSeparator" w:id="0">
    <w:p w14:paraId="7AB06889" w14:textId="77777777" w:rsidR="006E5A43" w:rsidRDefault="006E5A43" w:rsidP="00880D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1D"/>
    <w:rsid w:val="006E5A43"/>
    <w:rsid w:val="007931EE"/>
    <w:rsid w:val="0088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34E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0D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0D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0D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0D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