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8C917" w14:textId="77777777" w:rsidR="00FA7208" w:rsidRDefault="00FA7208">
      <w:r>
        <w:t xml:space="preserve">每日論語　　悟道法師主講　　（第八十集）　　</w:t>
      </w:r>
      <w:r>
        <w:t>2019/2/10</w:t>
      </w:r>
      <w:r>
        <w:t xml:space="preserve">　　台灣華藏淨宗學會　　檔名：</w:t>
      </w:r>
      <w:r>
        <w:t xml:space="preserve">WD20-037-0080 </w:t>
      </w:r>
    </w:p>
    <w:p w14:paraId="56177336" w14:textId="77777777" w:rsidR="00FA7208" w:rsidRDefault="00FA7208">
      <w:pPr>
        <w:pStyle w:val="a3"/>
      </w:pPr>
      <w:r>
        <w:t xml:space="preserve">　　諸位同學早上好！我們繼續來學習雪廬老人的《論語講記》，「里仁篇」第五章。</w:t>
      </w:r>
      <w:r>
        <w:t xml:space="preserve"> </w:t>
      </w:r>
    </w:p>
    <w:p w14:paraId="5CABC232" w14:textId="77777777" w:rsidR="00FA7208" w:rsidRDefault="00FA7208">
      <w:pPr>
        <w:pStyle w:val="a3"/>
      </w:pPr>
      <w:r>
        <w:t xml:space="preserve">　　【子曰。富與貴。是人之所欲也。不以其道得之。不處也。貧與賤。是人之所惡也。不以其道得之。不去也。】</w:t>
      </w:r>
      <w:r>
        <w:t xml:space="preserve"> </w:t>
      </w:r>
    </w:p>
    <w:p w14:paraId="4445E15D" w14:textId="77777777" w:rsidR="00FA7208" w:rsidRDefault="00FA7208">
      <w:pPr>
        <w:pStyle w:val="a3"/>
      </w:pPr>
      <w:r>
        <w:t xml:space="preserve">　　『子曰：富與貴，是人之所欲也，不以其道得之，不處也。』「富貴是人們所欲求的，不由道理得來的富貴，雖然富貴了我也不要。例如古代泄柳、段干木的不仕，黔婁的安於貧窮而不仕，再有如不食嗟來食，最終餓死而不食的人。很多古人是如此，有骨氣！」</w:t>
      </w:r>
      <w:r>
        <w:t xml:space="preserve"> </w:t>
      </w:r>
    </w:p>
    <w:p w14:paraId="47E38786" w14:textId="77777777" w:rsidR="00FA7208" w:rsidRDefault="00FA7208">
      <w:pPr>
        <w:pStyle w:val="a3"/>
      </w:pPr>
      <w:r>
        <w:t xml:space="preserve">　　『貧與賤，是人之所惡也，不以其道得之，不去也。』「貧賤是人們所厭惡的，不以其道得之不去也。」貧賤是人們所不要的，不以其道得之，也不去除貧賤。總是要以道得之，如果不以其道可以去掉貧賤，聖賢是不去的。「作善降祥，這才是富貴的道理原因；不作善而來了吉祥，這種好事我不要。貧賤很痛苦，有貧賤的苦因，所謂作惡降殃，若沒有作惡事而得貧賤，這是天命，我也不去除貧賤，我就接受它。」這個就是雪廬老人給我們講的這段書文、這段經書的意思，「貧與賤，是人之所惡也，不以其道得之，不去也」。</w:t>
      </w:r>
      <w:r>
        <w:t xml:space="preserve"> </w:t>
      </w:r>
    </w:p>
    <w:p w14:paraId="7ED2F83E" w14:textId="77777777" w:rsidR="00FA7208" w:rsidRDefault="00FA7208">
      <w:pPr>
        <w:pStyle w:val="a3"/>
      </w:pPr>
      <w:r>
        <w:t xml:space="preserve">　　「有些學佛人鬧家變就發牢騷，以佛理來講，有人一生都作善事而家庭卻遭到不幸的，孔子尚且死了兒子，堯舜也都很好，他們的兒子卻都不好，這是什麼道理？大家想想。」</w:t>
      </w:r>
      <w:r>
        <w:t xml:space="preserve"> </w:t>
      </w:r>
    </w:p>
    <w:p w14:paraId="7E8A572F" w14:textId="77777777" w:rsidR="00FA7208" w:rsidRDefault="00FA7208">
      <w:pPr>
        <w:pStyle w:val="a3"/>
      </w:pPr>
      <w:r>
        <w:t xml:space="preserve">　　「這一章若從文法解析就容易明白。自從宋朝程子、朱子以後，《論語》就分漢儒與宋儒的注解，爭執很久，開了罵人的端倪。陸隴其為清朝康熙年間的進士，著書很多，他雖然崇尚朱子，但他的《松陽講義》還是有可觀的地方。王夫之的《讀四書大全說》，簡直就像罵大街，一直罵到孟子，有如法家之流，刻薄寡恩，文字尖刻到極處。他也引佛家的名詞，七菩提分、八聖道分，他只知名詞，名相尚且不知。」這是雪廬老人給我們舉出兩種注解。</w:t>
      </w:r>
      <w:r>
        <w:t xml:space="preserve"> </w:t>
      </w:r>
    </w:p>
    <w:p w14:paraId="1C3F9F3C" w14:textId="77777777" w:rsidR="00FA7208" w:rsidRDefault="00FA7208">
      <w:pPr>
        <w:pStyle w:val="a3"/>
      </w:pPr>
      <w:r>
        <w:t xml:space="preserve">　　「《集解》，孔曰：不以其道得富貴，則仁者不處。不是仁者就不如此了。何晏曰：時有否泰，故君子履道而反貧賤，此則不以其道得之，雖是人之所惡，不可違而去之。例如孔子不出仕，陽貨屢勸他出仕，最終還是不出仕，因為時間不對，不是因為行道而得貧賤。臨財毋苟得，不因富貴而苟且求得。《集解》這一段講得很好。」這是給我們列出《集解》這本注解，注解這一段講得很好。</w:t>
      </w:r>
      <w:r>
        <w:t xml:space="preserve"> </w:t>
      </w:r>
    </w:p>
    <w:p w14:paraId="4FCC8FB2" w14:textId="77777777" w:rsidR="00FA7208" w:rsidRDefault="00FA7208">
      <w:pPr>
        <w:pStyle w:val="a3"/>
      </w:pPr>
      <w:r>
        <w:t xml:space="preserve">　　「經文以外的少說，只要就著經文解釋就可以了，雖然依佛學講容易，但是就有羼雜，所以儒家的經典就以儒家解說，不用佛學解釋。吾講書以佛學譬喻，這就是羼雜，應當各行其是。而且批評誰好誰壞，這也不好。佛法是出世，儒家是入世，像是賣藥與賣棺材的互罵，其實兩者都不能少，可以並存。」這是用譬喻給我們講，出世、入世都需要，所以就不能互相批評。</w:t>
      </w:r>
      <w:r>
        <w:t xml:space="preserve"> </w:t>
      </w:r>
    </w:p>
    <w:p w14:paraId="75B183C4" w14:textId="77777777" w:rsidR="00FA7208" w:rsidRDefault="00FA7208">
      <w:pPr>
        <w:pStyle w:val="a3"/>
      </w:pPr>
      <w:r>
        <w:lastRenderedPageBreak/>
        <w:t xml:space="preserve">　　「孫奇逢《四書近指》：人初生時，只有此身，原來貧賤，非有所失也。至富貴則有所得矣。無失無所得，有得有所失。故均一非道，富貴不可處，以其外來。貧賤不可去，以其所從來。」「人一下生」，我們人一生下來，「只有身體，赤著身而來」，出來的時候什麼都沒有，「是貧？還是富？」「人人下生都是如此，皇帝、太子也是如此，談不上貧」，也談不上富，「加一件衣服就是富了，下生時是不貧不富。所以貧是本來就如此，並不是幹不好事的才貧了，長大得到衣食住家就算富貴了。所以富貴是外來的，本來是無失也無所得，有得才有失，有衣食住便有失。不論有道、無道，富貴都不可靠，貧賤也去不了，因為貧賤是與生俱來的。」就像我們出生，什麼都空空，什麼也沒帶來。</w:t>
      </w:r>
      <w:r>
        <w:t xml:space="preserve"> </w:t>
      </w:r>
    </w:p>
    <w:p w14:paraId="3618E9D2" w14:textId="77777777" w:rsidR="00FA7208" w:rsidRDefault="00FA7208">
      <w:pPr>
        <w:pStyle w:val="a3"/>
      </w:pPr>
      <w:r>
        <w:t xml:space="preserve">　　「這一段沒有說佛學，而是含有佛學的義理。孔夫子飯疏食飲水，曲肱而樂；顏子有田三十畝，卻安於一簞食一瓢飲，過著本來面目的生活；堯王禹王的宮殿茅茨不剪，也很儉樸；子路很慷慨，穿著破縕袍和穿著狐裘的富貴人站在一起，一點也不在乎，因為貧賤富貴都不在他的心中。喜好讀書的，穿敝衣，有錢就布施，這些全在於各位的修養。吾青年時曾學這一套，所以知道，學佛後才改掉。所以人全在於覺悟，全在於能改，要生而知之者極少。」這個是我們人就是要覺悟，要能改過。生下來就像聖人的，這個很少很少。</w:t>
      </w:r>
      <w:r>
        <w:t xml:space="preserve"> </w:t>
      </w:r>
    </w:p>
    <w:p w14:paraId="74CEDB40" w14:textId="77777777" w:rsidR="00FA7208" w:rsidRDefault="00FA7208">
      <w:pPr>
        <w:pStyle w:val="a3"/>
      </w:pPr>
      <w:r>
        <w:t xml:space="preserve">　　「道指仁字，這是漢儒的注解。」</w:t>
      </w:r>
      <w:r>
        <w:t xml:space="preserve"> </w:t>
      </w:r>
    </w:p>
    <w:p w14:paraId="3EBE2EC5" w14:textId="77777777" w:rsidR="00FA7208" w:rsidRDefault="00FA7208">
      <w:pPr>
        <w:pStyle w:val="a3"/>
      </w:pPr>
      <w:r>
        <w:t xml:space="preserve">　　「附注」，這裡有個括弧，「非雪公所言」，下面不是雪廬老人講的，是《反身錄》這個書講的，我們給它念一念。「《反身錄》：伊尹一介弗取，千駟弗顧，夫子疏水曲肱而樂，不義之富貴如浮雲；顏子之樂不以簞瓢改；柳下惠之介不以三公易。古之聖賢未有不審富貴安貧賤，以清其源而正其流者，而況於中材下士乎。伊尹是商湯的賢相，名摯，最初耕於莘野，湯三聘才答應前往輔佐湯，幫助湯伐桀，而王天下，湯尊伊尹為阿衡。湯崩逝後，湯的孫子太甲繼位，太甲無道」，伊尹把他放逐到桐宮，「過了三年，太甲悔過，伊尹才歸政於太甲」，把這個政權再歸還給他。</w:t>
      </w:r>
      <w:r>
        <w:t xml:space="preserve"> </w:t>
      </w:r>
    </w:p>
    <w:p w14:paraId="2115139C" w14:textId="77777777" w:rsidR="00FA7208" w:rsidRDefault="00FA7208">
      <w:pPr>
        <w:pStyle w:val="a3"/>
      </w:pPr>
      <w:r>
        <w:t xml:space="preserve">　　「《論語．述而篇》：子曰：飯疏食飲水，曲肱而枕之，樂亦在其中矣，不義而富且貴，於我如浮雲。」「述而篇」講的不義的富貴，這個是聖賢人他不取的。</w:t>
      </w:r>
      <w:r>
        <w:t xml:space="preserve"> </w:t>
      </w:r>
    </w:p>
    <w:p w14:paraId="409E0B8F" w14:textId="77777777" w:rsidR="00FA7208" w:rsidRDefault="00FA7208">
      <w:pPr>
        <w:pStyle w:val="a3"/>
      </w:pPr>
      <w:r>
        <w:t xml:space="preserve">　　「雍也篇：子曰：賢哉回也，一簞食，一瓢飲，在陋巷，人不堪其憂，回也不改其樂，賢哉回也。」在「雍也篇」，孔子也讚歎顏回安貧樂道。</w:t>
      </w:r>
      <w:r>
        <w:t xml:space="preserve"> </w:t>
      </w:r>
    </w:p>
    <w:p w14:paraId="0A2E3628" w14:textId="77777777" w:rsidR="00FA7208" w:rsidRDefault="00FA7208">
      <w:pPr>
        <w:pStyle w:val="a3"/>
      </w:pPr>
      <w:r>
        <w:t xml:space="preserve">　　「柳下惠，春秋時魯國人，居柳下，謚曰惠，孟子稱為聖之和。」</w:t>
      </w:r>
      <w:r>
        <w:t xml:space="preserve"> </w:t>
      </w:r>
    </w:p>
    <w:p w14:paraId="29E061C4" w14:textId="77777777" w:rsidR="00FA7208" w:rsidRDefault="00FA7208">
      <w:pPr>
        <w:pStyle w:val="a3"/>
      </w:pPr>
      <w:r>
        <w:t xml:space="preserve">　　「世間得貧賤的道理很多，例如不守繩檢，博弈鬥狠，奢侈縱肆，都是取貧賤的道理。」這個世間會得到貧賤有很多方面的，以上列出來了，都是取貧賤之道。如果沒有這等事而得到貧賤，那這個貧賤就是「生於天命」，命中注定，「所以不去」。</w:t>
      </w:r>
      <w:r>
        <w:t xml:space="preserve"> </w:t>
      </w:r>
    </w:p>
    <w:p w14:paraId="20136FC0" w14:textId="77777777" w:rsidR="00FA7208" w:rsidRDefault="00FA7208">
      <w:pPr>
        <w:pStyle w:val="a3"/>
      </w:pPr>
      <w:r>
        <w:t xml:space="preserve">　　好，這章書我們就學習到這裡，祝大家福慧增長，法喜充滿，阿彌陀佛！　　</w:t>
      </w:r>
    </w:p>
    <w:sectPr w:rsidR="00FA72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DA6A6" w14:textId="77777777" w:rsidR="00FA7208" w:rsidRDefault="00FA7208" w:rsidP="00012433">
      <w:r>
        <w:separator/>
      </w:r>
    </w:p>
  </w:endnote>
  <w:endnote w:type="continuationSeparator" w:id="0">
    <w:p w14:paraId="310AFDCD" w14:textId="77777777" w:rsidR="00FA7208" w:rsidRDefault="00FA7208" w:rsidP="000124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BFEE1" w14:textId="77777777" w:rsidR="00FA7208" w:rsidRDefault="00FA7208" w:rsidP="00012433">
      <w:r>
        <w:separator/>
      </w:r>
    </w:p>
  </w:footnote>
  <w:footnote w:type="continuationSeparator" w:id="0">
    <w:p w14:paraId="05FB6420" w14:textId="77777777" w:rsidR="00FA7208" w:rsidRDefault="00FA7208" w:rsidP="000124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433"/>
    <w:rsid w:val="00012433"/>
    <w:rsid w:val="007931EE"/>
    <w:rsid w:val="00FA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97DA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24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24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24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24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