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0EBF0" w14:textId="77777777" w:rsidR="00CA551B" w:rsidRDefault="00CA551B">
      <w:r>
        <w:t xml:space="preserve">每日論語　　悟道法師主講　　（第八十二集）　　</w:t>
      </w:r>
      <w:r>
        <w:t>2019/2/12</w:t>
      </w:r>
      <w:r>
        <w:t xml:space="preserve">　　台灣華藏淨宗學會　　檔名：</w:t>
      </w:r>
      <w:r>
        <w:t xml:space="preserve">WD20-037-0082 </w:t>
      </w:r>
    </w:p>
    <w:p w14:paraId="78384E38" w14:textId="77777777" w:rsidR="00CA551B" w:rsidRDefault="00CA551B">
      <w:pPr>
        <w:pStyle w:val="a3"/>
      </w:pPr>
      <w:r>
        <w:t xml:space="preserve">　　諸位同學，大家早上好！今天是二Ｏ一九歲次己亥年正月初八，我們繼續來學習雪廬老人的《論語講記》，「里仁篇」第七章。</w:t>
      </w:r>
      <w:r>
        <w:t xml:space="preserve"> </w:t>
      </w:r>
    </w:p>
    <w:p w14:paraId="231DBA19" w14:textId="77777777" w:rsidR="00CA551B" w:rsidRDefault="00CA551B">
      <w:pPr>
        <w:pStyle w:val="a3"/>
      </w:pPr>
      <w:r>
        <w:t xml:space="preserve">　　【子曰。我未見好仁者。惡不仁者。好仁者無以尚之。惡不仁者其為仁矣。不使不仁者加乎其身。有能一日用其力於仁矣乎。我未見力不足者。蓋有之矣。我未之見也。】</w:t>
      </w:r>
      <w:r>
        <w:t xml:space="preserve"> </w:t>
      </w:r>
    </w:p>
    <w:p w14:paraId="46791F62" w14:textId="77777777" w:rsidR="00CA551B" w:rsidRDefault="00CA551B">
      <w:pPr>
        <w:pStyle w:val="a3"/>
      </w:pPr>
      <w:r>
        <w:t xml:space="preserve">　　「這一章分三段講，比較妥當，這一章朱注所講的，沒有什麼大失誤，可以講得下去。朱子說的或許有不對，而王夫之則是吹毛求疵罵人，這是大錯。劉寶楠依從漢學，罵宋儒的少；阮元也專主張漢注，對於宋儒也是一字不提，這樣就對了。程朱開啟罵人的端倪，所以後來罵他們的人就很多，這也是一種因果，任何事都開不得端。」這一段雪廬老人給我們講注解，宋儒注解開了罵人的一個開頭，後來也就很多人罵宋儒，這也是一種因果報應。</w:t>
      </w:r>
      <w:r>
        <w:t xml:space="preserve"> </w:t>
      </w:r>
    </w:p>
    <w:p w14:paraId="2FB5C553" w14:textId="77777777" w:rsidR="00CA551B" w:rsidRDefault="00CA551B">
      <w:pPr>
        <w:pStyle w:val="a3"/>
      </w:pPr>
      <w:r>
        <w:t xml:space="preserve">　　我們下面繼續講雪廬老人的注解。『子曰：我未見好仁者。』「子曰：我未見好仁者，惡不仁者，這是一件事。人人有所喜好，嗜好有好有壞，不一定。有嗜好的人，即便死了也必須幹，如劉伶的嗜酒，死在哪裡，埋在哪裡，酒隨身帶著，死也必須喝。」這是講嗜好喝酒的人。「賭徒可以賭上三天三夜，死也必須幹，樂此不疲。」好像喜歡賭博的人，賭了三天三夜也樂此不疲。「佛經說的不厭不疲，好樂仁是好的嗜好。但是孔子說我未見，自己好仁，不管別人，這像是佛家的小乘，焦芽敗種。」</w:t>
      </w:r>
      <w:r>
        <w:t xml:space="preserve"> </w:t>
      </w:r>
    </w:p>
    <w:p w14:paraId="6B5FC902" w14:textId="77777777" w:rsidR="00CA551B" w:rsidRDefault="00CA551B">
      <w:pPr>
        <w:pStyle w:val="a3"/>
      </w:pPr>
      <w:r>
        <w:t xml:space="preserve">　　『惡不仁者。』「惡不仁者，自己好仁，見到有人不仁就患惡。並不是去殺他，或是愛之欲其生，惡之欲其死，而是默擯」，默擯就是不理會他，「但也不是永遠都默擯」。「親君子遠小人，不僅如此，小人若能幡然悔改，也會接納他，例如孔子的見互鄉童子，與其進也，不念舊惡。君子恥獨為君子，若都是小人，你就不是君子了。君子愛人，就必須教化他，這是自行化他的人。孔子說我未之見也。這是兼而說之，下文再分開說。」</w:t>
      </w:r>
      <w:r>
        <w:t xml:space="preserve"> </w:t>
      </w:r>
    </w:p>
    <w:p w14:paraId="54AF32FC" w14:textId="77777777" w:rsidR="00CA551B" w:rsidRDefault="00CA551B">
      <w:pPr>
        <w:pStyle w:val="a3"/>
      </w:pPr>
      <w:r>
        <w:t xml:space="preserve">　　『好仁者無以尚之。』「好仁者，無以尚之，依於仁，與仁靠在一起，不能分開，這種人是醇之又醇了。」</w:t>
      </w:r>
      <w:r>
        <w:t xml:space="preserve"> </w:t>
      </w:r>
    </w:p>
    <w:p w14:paraId="6043BEB1" w14:textId="77777777" w:rsidR="00CA551B" w:rsidRDefault="00CA551B">
      <w:pPr>
        <w:pStyle w:val="a3"/>
      </w:pPr>
      <w:r>
        <w:t xml:space="preserve">　　『惡不仁者其為仁矣。』「惡不仁者，其為仁矣，雖不是好仁卻是患惡不仁，這當然也算是仁了。」</w:t>
      </w:r>
      <w:r>
        <w:t xml:space="preserve"> </w:t>
      </w:r>
    </w:p>
    <w:p w14:paraId="21F781A4" w14:textId="77777777" w:rsidR="00CA551B" w:rsidRDefault="00CA551B">
      <w:pPr>
        <w:pStyle w:val="a3"/>
      </w:pPr>
      <w:r>
        <w:t xml:space="preserve">　　『不使不仁者加乎其身。』「不使不仁者加乎其身，不使惡人的惡習氣加在他的身上，例如陽貨贈送孔子豚，孔子回拜，途中遇見陽貨，應付他說：吾將仕矣，這種做法很難。我不能好仁，近仁就不錯了。」</w:t>
      </w:r>
      <w:r>
        <w:t xml:space="preserve"> </w:t>
      </w:r>
    </w:p>
    <w:p w14:paraId="2F35354A" w14:textId="77777777" w:rsidR="00CA551B" w:rsidRDefault="00CA551B">
      <w:pPr>
        <w:pStyle w:val="a3"/>
      </w:pPr>
      <w:r>
        <w:t xml:space="preserve">　　「另一種解釋，若近仁者就能親近好仁，惡不仁者，有人加害這兩種人，就會設法保護他們，不使有人來加害仁者及惡不仁者。」這是另外一種解釋。</w:t>
      </w:r>
      <w:r>
        <w:t xml:space="preserve"> </w:t>
      </w:r>
    </w:p>
    <w:p w14:paraId="274A2104" w14:textId="77777777" w:rsidR="00CA551B" w:rsidRDefault="00CA551B">
      <w:pPr>
        <w:pStyle w:val="a3"/>
      </w:pPr>
      <w:r>
        <w:lastRenderedPageBreak/>
        <w:t xml:space="preserve">　　「以上是第一段，下面是第二段，注重未見，三段都有包括。」</w:t>
      </w:r>
      <w:r>
        <w:t xml:space="preserve"> </w:t>
      </w:r>
    </w:p>
    <w:p w14:paraId="61E154B7" w14:textId="77777777" w:rsidR="00CA551B" w:rsidRDefault="00CA551B">
      <w:pPr>
        <w:pStyle w:val="a3"/>
      </w:pPr>
      <w:r>
        <w:t xml:space="preserve">　　『有能一日用其力於仁矣乎。』「有能一日用其力於仁矣乎，有是假設詞。假如有人哪一天忽然間對於仁要去做了，這是注重力，力是力行。一天力行孝弟忠信，就接近於仁了。」</w:t>
      </w:r>
      <w:r>
        <w:t xml:space="preserve"> </w:t>
      </w:r>
    </w:p>
    <w:p w14:paraId="1C7BEE83" w14:textId="77777777" w:rsidR="00CA551B" w:rsidRDefault="00CA551B">
      <w:pPr>
        <w:pStyle w:val="a3"/>
      </w:pPr>
      <w:r>
        <w:t xml:space="preserve">　　『我未見力不足者。』「我未見力不足者，上段是未見好仁、惡不仁之人，這是未見力行的人，誰都能做，沒有說想力行而力量用不上的人，孝自當竭力，忠則要盡命，沒有見過有要幹而力量夠不上的人。」</w:t>
      </w:r>
      <w:r>
        <w:t xml:space="preserve"> </w:t>
      </w:r>
    </w:p>
    <w:p w14:paraId="5979DEFF" w14:textId="77777777" w:rsidR="00CA551B" w:rsidRDefault="00CA551B">
      <w:pPr>
        <w:pStyle w:val="a3"/>
      </w:pPr>
      <w:r>
        <w:t xml:space="preserve">　　「這是第二段，下頭是第三段。」</w:t>
      </w:r>
      <w:r>
        <w:t xml:space="preserve"> </w:t>
      </w:r>
    </w:p>
    <w:p w14:paraId="336CBA73" w14:textId="77777777" w:rsidR="00CA551B" w:rsidRDefault="00CA551B">
      <w:pPr>
        <w:pStyle w:val="a3"/>
      </w:pPr>
      <w:r>
        <w:t xml:space="preserve">　　『蓋有之矣，我未之見也。』「蓋有之矣，我未之見也，力量不足，或可有這種人，例如家貧，只有白水供母」，供養母親也是盡力，野菜供養母親也是盡力。「若是答應人還沒有完成而壽盡身先死了，就是未能盡力的例子。孔子說，或許有這種例子，吾未之見也。孔子的言語，雍容文雅，決不刻薄寡恩，一點刀筆先生的氣味也沒有。吾學司法，年輕時刻薄寡恩，言語也是如此，儒家是講不為已甚。孔子說，不能好仁、惡不仁者，可以用力於孝弟忠信就接近仁了，再不然那或許就是吾未之見也。孔子極盡委曲婉轉，顯出引人往上走的能事。」</w:t>
      </w:r>
      <w:r>
        <w:t xml:space="preserve"> </w:t>
      </w:r>
    </w:p>
    <w:p w14:paraId="6D399123" w14:textId="77777777" w:rsidR="00CA551B" w:rsidRDefault="00CA551B">
      <w:pPr>
        <w:pStyle w:val="a3"/>
      </w:pPr>
      <w:r>
        <w:t xml:space="preserve">　　「這一章有三個我未見，可以細細揣摩這個意味。」</w:t>
      </w:r>
      <w:r>
        <w:t xml:space="preserve"> </w:t>
      </w:r>
    </w:p>
    <w:p w14:paraId="5481D0DE" w14:textId="77777777" w:rsidR="00CA551B" w:rsidRDefault="00CA551B">
      <w:pPr>
        <w:pStyle w:val="a3"/>
      </w:pPr>
      <w:r>
        <w:t xml:space="preserve">　　「你們學佛，不能自行化他，只要化他也可以，再不然能勸人不為惡也可以，只勸就可以了。這就是隨喜，佛家注重隨喜、迴向、懺悔。」</w:t>
      </w:r>
      <w:r>
        <w:t xml:space="preserve"> </w:t>
      </w:r>
    </w:p>
    <w:p w14:paraId="1336B6E2" w14:textId="77777777" w:rsidR="00CA551B" w:rsidRDefault="00CA551B">
      <w:pPr>
        <w:pStyle w:val="a3"/>
      </w:pPr>
      <w:r>
        <w:t xml:space="preserve">　　好，這一章我們就先學到這裡。祝大家新春吉祥，法喜充滿，阿彌陀佛！　　</w:t>
      </w:r>
    </w:p>
    <w:sectPr w:rsidR="00CA551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D510F" w14:textId="77777777" w:rsidR="00CA551B" w:rsidRDefault="00CA551B" w:rsidP="00D65FA3">
      <w:r>
        <w:separator/>
      </w:r>
    </w:p>
  </w:endnote>
  <w:endnote w:type="continuationSeparator" w:id="0">
    <w:p w14:paraId="7EE9DAF3" w14:textId="77777777" w:rsidR="00CA551B" w:rsidRDefault="00CA551B" w:rsidP="00D65F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1EF22" w14:textId="77777777" w:rsidR="00CA551B" w:rsidRDefault="00CA551B" w:rsidP="00D65FA3">
      <w:r>
        <w:separator/>
      </w:r>
    </w:p>
  </w:footnote>
  <w:footnote w:type="continuationSeparator" w:id="0">
    <w:p w14:paraId="3E43EB19" w14:textId="77777777" w:rsidR="00CA551B" w:rsidRDefault="00CA551B" w:rsidP="00D65F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FA3"/>
    <w:rsid w:val="007931EE"/>
    <w:rsid w:val="00CA551B"/>
    <w:rsid w:val="00D65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4E582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65FA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65FA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65FA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65FA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251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2026-08-13T00:15:00Z</dcterms:created>
  <dcterms:modified xsi:type="dcterms:W3CDTF">2026-08-13T00:15:00Z</dcterms:modified>
</cp:coreProperties>
</file>