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72795" w14:textId="77777777" w:rsidR="00AD3258" w:rsidRDefault="00AD3258">
      <w:r>
        <w:t xml:space="preserve">每日論語　　悟道法師主講　　（第八十七集）　　</w:t>
      </w:r>
      <w:r>
        <w:t>2019/2/17</w:t>
      </w:r>
      <w:r>
        <w:t xml:space="preserve">　　台灣華藏淨宗學會　　檔名：</w:t>
      </w:r>
      <w:r>
        <w:t xml:space="preserve">WD20-037-0087 </w:t>
      </w:r>
    </w:p>
    <w:p w14:paraId="12C65539" w14:textId="77777777" w:rsidR="00AD3258" w:rsidRDefault="00AD3258">
      <w:pPr>
        <w:pStyle w:val="a3"/>
      </w:pPr>
      <w:r>
        <w:t xml:space="preserve">　　諸位同學，大家早上好！我們繼續來學習雪廬老人的《論語講記》，「里仁篇」第十二章。</w:t>
      </w:r>
      <w:r>
        <w:t xml:space="preserve"> </w:t>
      </w:r>
    </w:p>
    <w:p w14:paraId="5DC03A3B" w14:textId="77777777" w:rsidR="00AD3258" w:rsidRDefault="00AD3258">
      <w:pPr>
        <w:pStyle w:val="a3"/>
      </w:pPr>
      <w:r>
        <w:t xml:space="preserve">　　【子曰。君子懷德。小人懷土。君子懷刑。小人懷惠。】</w:t>
      </w:r>
      <w:r>
        <w:t xml:space="preserve"> </w:t>
      </w:r>
    </w:p>
    <w:p w14:paraId="3286D110" w14:textId="77777777" w:rsidR="00AD3258" w:rsidRDefault="00AD3258">
      <w:pPr>
        <w:pStyle w:val="a3"/>
      </w:pPr>
      <w:r>
        <w:t xml:space="preserve">　　「元代以後都依朱子注解，細案文理，文法不合。」這一章書雪廬老人給我們講，元朝以後都是依宋朝朱子的注解，仔細按照這一章的文理，朱子的注解文法不合。</w:t>
      </w:r>
      <w:r>
        <w:t xml:space="preserve"> </w:t>
      </w:r>
    </w:p>
    <w:p w14:paraId="790F0E4D" w14:textId="77777777" w:rsidR="00AD3258" w:rsidRDefault="00AD3258">
      <w:pPr>
        <w:pStyle w:val="a3"/>
      </w:pPr>
      <w:r>
        <w:t xml:space="preserve">　　「懷，說文，思念也。懷德、懷土可依思念解釋，若懷刑就太勉強了。另外有人解釋，懷者，安也，那懷刑就更解難釋了。《群經平議》當歸解釋」，回歸這個歸，「也有難講的地方。四個懷，應當一樣解才可以。」雪廬老人給我們說明，不同的注解注解懷這個意思有不同，也很難解釋，解釋不清楚。</w:t>
      </w:r>
      <w:r>
        <w:t xml:space="preserve"> </w:t>
      </w:r>
    </w:p>
    <w:p w14:paraId="51A4A8B7" w14:textId="77777777" w:rsidR="00AD3258" w:rsidRDefault="00AD3258">
      <w:pPr>
        <w:pStyle w:val="a3"/>
      </w:pPr>
      <w:r>
        <w:t xml:space="preserve">　　「德，有人說是自己，有人說是他人；刑有說是刑，有說是法。」德這個字注解的說法也有不同。</w:t>
      </w:r>
      <w:r>
        <w:t xml:space="preserve"> </w:t>
      </w:r>
    </w:p>
    <w:p w14:paraId="34E9615A" w14:textId="77777777" w:rsidR="00AD3258" w:rsidRDefault="00AD3258">
      <w:pPr>
        <w:pStyle w:val="a3"/>
      </w:pPr>
      <w:r>
        <w:t xml:space="preserve">　　「君子、小人不必指在位或不在位的人。首二句是指居處，下二句是指行動。」君子、小人不必指定是在位當官的，或者是不在位不當官的人。君子、小人有當官跟不當官這個意思，當官的在位叫君子，不在位不當官的小人，這是以官位或者沒有官位來講。</w:t>
      </w:r>
      <w:r>
        <w:t xml:space="preserve"> </w:t>
      </w:r>
    </w:p>
    <w:p w14:paraId="7848909C" w14:textId="77777777" w:rsidR="00AD3258" w:rsidRDefault="00AD3258">
      <w:pPr>
        <w:pStyle w:val="a3"/>
      </w:pPr>
      <w:r>
        <w:t xml:space="preserve">　　『子曰：君子懷德，小人懷土。』「君子懷德，仁里德鄰，所謂擇不處仁，焉得知？君子擇德鄰為居處，找有仁德的人住，交換知識，勿染惡習。」君子選擇有道德的鄰居來住，找有仁德的人跟他住在附近，來交換知識，避免去染上惡的習氣。「小人不是如此，只問這個地方有沒有利益，能不能升官發財，安土而重遷。」這是君子與小人不同的地方。君子找住的地方，他是找有沒有仁德的人住，找這個地方來住；小人找的地方，這個地方能不能升值，能不能賺錢，小人跟君子不同點在這個地方，這也是我們要學習的地方。所以居住的地方必定要找有道德的人跟他做鄰居，我們才能避免學到不好的壞習氣。</w:t>
      </w:r>
      <w:r>
        <w:t xml:space="preserve"> </w:t>
      </w:r>
    </w:p>
    <w:p w14:paraId="12E0A57D" w14:textId="77777777" w:rsidR="00AD3258" w:rsidRDefault="00AD3258">
      <w:pPr>
        <w:pStyle w:val="a3"/>
      </w:pPr>
      <w:r>
        <w:t xml:space="preserve">　　『君子懷刑，小人懷惠。』「《書經．大禹謨》說：惠迪吉，順道理的人就吉祥；逆迪凶，違逆道理的人就凶多吉少。」</w:t>
      </w:r>
      <w:r>
        <w:t xml:space="preserve"> </w:t>
      </w:r>
    </w:p>
    <w:p w14:paraId="4F3966C7" w14:textId="77777777" w:rsidR="00AD3258" w:rsidRDefault="00AD3258">
      <w:pPr>
        <w:pStyle w:val="a3"/>
      </w:pPr>
      <w:r>
        <w:t xml:space="preserve">　　「刑，典型也。君子的行動，一向是想這樣有沒有合乎典型；小人只問這一件事能不能到得恩惠、利益。所謂君子居易以俟命，小人行險以僥倖。」</w:t>
      </w:r>
      <w:r>
        <w:t xml:space="preserve"> </w:t>
      </w:r>
    </w:p>
    <w:p w14:paraId="6828CD3D" w14:textId="77777777" w:rsidR="00AD3258" w:rsidRDefault="00AD3258">
      <w:pPr>
        <w:pStyle w:val="a3"/>
      </w:pPr>
      <w:r>
        <w:t xml:space="preserve">　　「這一章如何解，吾也沒有一定。」上面《書經》講，惠迪吉，順道理的人就吉祥；逆迪凶，違逆道理的人就凶多吉少。</w:t>
      </w:r>
      <w:r>
        <w:t xml:space="preserve"> </w:t>
      </w:r>
    </w:p>
    <w:p w14:paraId="00567B0D" w14:textId="77777777" w:rsidR="00AD3258" w:rsidRDefault="00AD3258">
      <w:pPr>
        <w:pStyle w:val="a3"/>
      </w:pPr>
      <w:r>
        <w:t xml:space="preserve">　　下面雪廬老人舉出，也是《論語》其他篇的，來給我們說明。</w:t>
      </w:r>
      <w:r>
        <w:t xml:space="preserve"> </w:t>
      </w:r>
    </w:p>
    <w:p w14:paraId="10BB45B1" w14:textId="77777777" w:rsidR="00AD3258" w:rsidRDefault="00AD3258">
      <w:pPr>
        <w:pStyle w:val="a3"/>
      </w:pPr>
      <w:r>
        <w:lastRenderedPageBreak/>
        <w:t xml:space="preserve">　　「互鄉難與言，童子見，孔子就見他，孔子與其進也，唯義是從。不保其往也，不管後來，現在往好走，孔子便稱許他。」互鄉難與言，童子見，這個互鄉的童子，很難跟他溝通的，他來見孔子了，孔子也見他。與其進也，唯義是從，不保其往也，孔子也教，不管他後來，現在他要往好的地方走，他想要學好，孔子便稱許他。教了他之後，他能不能保持，願不願意依教奉行，那就管不了了，那就不管了。</w:t>
      </w:r>
      <w:r>
        <w:t xml:space="preserve"> </w:t>
      </w:r>
    </w:p>
    <w:p w14:paraId="7B6D51F8" w14:textId="77777777" w:rsidR="00AD3258" w:rsidRDefault="00AD3258">
      <w:pPr>
        <w:pStyle w:val="a3"/>
      </w:pPr>
      <w:r>
        <w:t xml:space="preserve">　　「《華嚴》說：內寂靜，外不動，在世道大亂時，處在亂世中，內心要寂靜，外頭的環境也不為所動，念佛便是如此，自問能夠念得一心不變嗎？」這也是我們要學習的地方，我們念佛人，在世道大亂這個時候，處在亂世當中，內心要寂靜，外頭的環境也不為所動。我們自己要問一問，我們念佛能夠念得一心不變嗎？就是在亂世當中，我們能不能不受影響。內心寂靜，這最標準典型的就是海賢老和尚，他處在這種動蕩的時代，大亂世，他內心念佛，內寂靜，外不動，這是我們念佛人要學習的地方。</w:t>
      </w:r>
      <w:r>
        <w:t xml:space="preserve"> </w:t>
      </w:r>
    </w:p>
    <w:p w14:paraId="2BEE87EB" w14:textId="77777777" w:rsidR="00AD3258" w:rsidRDefault="00AD3258">
      <w:pPr>
        <w:pStyle w:val="a3"/>
      </w:pPr>
      <w:r>
        <w:t xml:space="preserve">　　「君子懷刑，刑就是型」，模型這個型，「漢儒講法刑，刑與型同，典型的意思」。</w:t>
      </w:r>
      <w:r>
        <w:t xml:space="preserve"> </w:t>
      </w:r>
    </w:p>
    <w:p w14:paraId="78E112EA" w14:textId="77777777" w:rsidR="00AD3258" w:rsidRDefault="00AD3258">
      <w:pPr>
        <w:pStyle w:val="a3"/>
      </w:pPr>
      <w:r>
        <w:t xml:space="preserve">　　「《集釋》二百二十頁的按語說：此章言人人殊，竊謂當指趨向言之。君子、小人統指在上、在下而言。君子終日所思者，如何進德修業，君子求學所學都不離德。小人則求田問舍而已，小人想的是如何添置產業。德是對大家有好處，為公，有益國家社會。小人只為自己，有財產就行了，今日之下的台灣便是小人懷土。貪污、殺人要財，都是為自己，懷德與懷土思想就不一樣。吾盡心教，你們不能獨立，吾也沒辦法。」這是雪廬老人的話。</w:t>
      </w:r>
      <w:r>
        <w:t xml:space="preserve"> </w:t>
      </w:r>
    </w:p>
    <w:p w14:paraId="6D9FA553" w14:textId="77777777" w:rsidR="00AD3258" w:rsidRDefault="00AD3258">
      <w:pPr>
        <w:pStyle w:val="a3"/>
      </w:pPr>
      <w:r>
        <w:t xml:space="preserve">　　「君子懷刑，安分守法，不離國家的憲典」，憲典就是憲法，「小人唯利是圖，好官我自為之，各界各機關都有君子、小人，你要是親近小人便成了小人。」這就是所謂，近朱者赤，近墨者黑。</w:t>
      </w:r>
      <w:r>
        <w:t xml:space="preserve"> </w:t>
      </w:r>
    </w:p>
    <w:p w14:paraId="209646FB" w14:textId="77777777" w:rsidR="00AD3258" w:rsidRDefault="00AD3258">
      <w:pPr>
        <w:pStyle w:val="a3"/>
      </w:pPr>
      <w:r>
        <w:t xml:space="preserve">　　「吾與你們孝悌忠信四字，要勉力實行，你們必須先有羞恥心，無羞恥心就沒法辦了，無恥，無法跟他說君子、小人。如管仲輔佐齊桓公稱霸天下，無恥，講一切都沒用，人不要臉，就是畜生！」</w:t>
      </w:r>
      <w:r>
        <w:t xml:space="preserve"> </w:t>
      </w:r>
    </w:p>
    <w:p w14:paraId="402DDF54" w14:textId="77777777" w:rsidR="00AD3258" w:rsidRDefault="00AD3258">
      <w:pPr>
        <w:pStyle w:val="a3"/>
      </w:pPr>
      <w:r>
        <w:t xml:space="preserve">　　「朝聞道的道，有人主張修齊治平。這一段，《日知錄》上也有評論，又有異端的說法，眾說紛紜，王船山先生說一歸方法，舉的例不倫不類，那方法歸一」，這個地方，這個字可能是打錯字，一歸方法，可能是一歸萬法，萬法歸一。「如何說？吾有個說法是百川匯海，萬法歸一，海歸那裡？這個道理一說，人便不懂了，若說水變氣那就完了。」這章雪廬老人給我們講，這個地方我們細心來體會、來揣摩，我們就會有所體會。</w:t>
      </w:r>
      <w:r>
        <w:t xml:space="preserve"> </w:t>
      </w:r>
    </w:p>
    <w:p w14:paraId="3ADD72AE" w14:textId="77777777" w:rsidR="00AD3258" w:rsidRDefault="00AD3258">
      <w:pPr>
        <w:pStyle w:val="a3"/>
      </w:pPr>
      <w:r>
        <w:t xml:space="preserve">　　好，這一章我們就先學到這裡。祝大家新春吉祥，法喜充滿，阿彌陀佛！　　</w:t>
      </w:r>
    </w:p>
    <w:sectPr w:rsidR="00AD32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4AB82" w14:textId="77777777" w:rsidR="00AD3258" w:rsidRDefault="00AD3258" w:rsidP="00FD47CF">
      <w:r>
        <w:separator/>
      </w:r>
    </w:p>
  </w:endnote>
  <w:endnote w:type="continuationSeparator" w:id="0">
    <w:p w14:paraId="47F08934" w14:textId="77777777" w:rsidR="00AD3258" w:rsidRDefault="00AD3258" w:rsidP="00FD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7CBEA" w14:textId="77777777" w:rsidR="00AD3258" w:rsidRDefault="00AD3258" w:rsidP="00FD47CF">
      <w:r>
        <w:separator/>
      </w:r>
    </w:p>
  </w:footnote>
  <w:footnote w:type="continuationSeparator" w:id="0">
    <w:p w14:paraId="0CBA8175" w14:textId="77777777" w:rsidR="00AD3258" w:rsidRDefault="00AD3258" w:rsidP="00FD47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CF"/>
    <w:rsid w:val="007931EE"/>
    <w:rsid w:val="00AD3258"/>
    <w:rsid w:val="00FD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54F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47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47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47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47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