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9FB4" w14:textId="77777777" w:rsidR="002D4DAF" w:rsidRDefault="002D4DAF">
      <w:r>
        <w:t xml:space="preserve">每日論語　　悟道法師主講　　（第九十四集）　　</w:t>
      </w:r>
      <w:r>
        <w:t>2019/2/24</w:t>
      </w:r>
      <w:r>
        <w:t xml:space="preserve">　　廣東揭陽　　檔名：</w:t>
      </w:r>
      <w:r>
        <w:t xml:space="preserve">WD20-037-0094 </w:t>
      </w:r>
    </w:p>
    <w:p w14:paraId="144162E8" w14:textId="77777777" w:rsidR="002D4DAF" w:rsidRDefault="002D4DAF">
      <w:pPr>
        <w:pStyle w:val="a3"/>
      </w:pPr>
      <w:r>
        <w:t xml:space="preserve">　　諸位同學，大家早上好！我們繼續來學習雪廬老人的《論語講記》，「里仁篇」第十九章。</w:t>
      </w:r>
      <w:r>
        <w:t xml:space="preserve"> </w:t>
      </w:r>
    </w:p>
    <w:p w14:paraId="2B7C2B31" w14:textId="77777777" w:rsidR="002D4DAF" w:rsidRDefault="002D4DAF">
      <w:pPr>
        <w:pStyle w:val="a3"/>
      </w:pPr>
      <w:r>
        <w:t xml:space="preserve">　　【子曰。事父母幾諫。見志不從。又敬不違。勞而不怨。】</w:t>
      </w:r>
      <w:r>
        <w:t xml:space="preserve"> </w:t>
      </w:r>
    </w:p>
    <w:p w14:paraId="5591C741" w14:textId="77777777" w:rsidR="002D4DAF" w:rsidRDefault="002D4DAF">
      <w:pPr>
        <w:pStyle w:val="a3"/>
      </w:pPr>
      <w:r>
        <w:t xml:space="preserve">　　「這一章注解都在字上爭論。幾者，指微妙的微，小到細處不能說，佛法叫微塵、鄰虛塵。有人說，事父母，父母有過錯要小諫，甚至不諫，如父母做賊不勸諫，被警察所逮捕，坐監獄，這算孝嗎？」這段就是父母有過，做子女應該要做到勸諫的責任。</w:t>
      </w:r>
      <w:r>
        <w:t xml:space="preserve"> </w:t>
      </w:r>
    </w:p>
    <w:p w14:paraId="5495ED77" w14:textId="77777777" w:rsidR="002D4DAF" w:rsidRDefault="002D4DAF">
      <w:pPr>
        <w:pStyle w:val="a3"/>
      </w:pPr>
      <w:r>
        <w:t xml:space="preserve">　　『子曰：事父母幾諫。』「此幾字，同機字。」這裡幾塊錢這個幾，這個地方念機，跟機會這個機音一樣。所以這裡不念幾，念機。事父母幾諫。「說某人很神，知機其神乎！能看到他心所動的念。」這個叫知機其神乎！能夠看到他人心裡所動的念頭。「靈敏的人能看出他動的念頭，這是動機很微妙。父母有過失罪過，別讓父母鑄成大錯，整天心在父母身上，不僅是奉養，注意衛生方面，就心理道德也令兒女擔心。一有微微一動，還好改」，有一些過失，微微一動，這個時候提醒，還比較好改，這個時候可以「輕描淡寫而勸諫，微微動時可輕描淡寫的諫，若成了大錯則不可輕描淡寫地勸諫」。造成大錯了，這個時候不可以輕描淡寫的勸了，那個勸可能他沒有感覺。所以勸，就要比較重了。</w:t>
      </w:r>
      <w:r>
        <w:t xml:space="preserve"> </w:t>
      </w:r>
    </w:p>
    <w:p w14:paraId="16C3DACE" w14:textId="77777777" w:rsidR="002D4DAF" w:rsidRDefault="002D4DAF">
      <w:pPr>
        <w:pStyle w:val="a3"/>
      </w:pPr>
      <w:r>
        <w:t xml:space="preserve">　　『見志不從，又敬不違。』「若父母不懂，再入一層」，勸了他還聽不懂，再深入一層，深入一層的勸，「但不離敬字」，但是沒有離開恭敬，對父母的恭敬是一樣的，不因為勸諫而對父母不敬。「婉轉不可惹父母不高興」，這就要善巧方便了。「若父母懂，又不聽你的勸諫，又敬不違，不可變色，如長輩呼叫，不可怠慢，唯而不諾（慢應）」，反應慢。「不違者，不停止。違，止也。願未達到，不停止勸諫。不違背個人誓願，不違是諫諍父母的事不能停止，並非不違背父母某些事，而是誓願不能改。」就是勸諫父母，如果他還沒有接受，那不能停止，還要不斷的勸，找機會勸，用各種善巧方便來勸。</w:t>
      </w:r>
      <w:r>
        <w:t xml:space="preserve"> </w:t>
      </w:r>
    </w:p>
    <w:p w14:paraId="72ADCBE0" w14:textId="77777777" w:rsidR="002D4DAF" w:rsidRDefault="002D4DAF">
      <w:pPr>
        <w:pStyle w:val="a3"/>
      </w:pPr>
      <w:r>
        <w:t xml:space="preserve">　　『勞而不怨。』「勞而不怨，勞，勞苦也，古書不當勞苦講，但有他的道理。一次次諫，甚者父母責打，這很勞苦」，勸了父母不接受，還被父母責備，被父母打，這是很「勤勞受苦還是不怨恨，只可怨不能恨，如孟子說，舜王號泣而旻天。怨，慕也」，舜王號泣而旻天。怨，慕也，「有怨無恨，何以不聽我們的話？為何對我疏遠」？「古時對君有怨言則殺頭」，對君王有怨言，可能會被殺頭了。「故昔有閨怨等的宮詞，不是怨恨，而是怨慕，皇帝你不來，嬪妃他怨慕。」所以這跟怨恨那個心態是不一樣。</w:t>
      </w:r>
      <w:r>
        <w:t xml:space="preserve"> </w:t>
      </w:r>
    </w:p>
    <w:p w14:paraId="107355AD" w14:textId="77777777" w:rsidR="002D4DAF" w:rsidRDefault="002D4DAF">
      <w:pPr>
        <w:pStyle w:val="a3"/>
      </w:pPr>
      <w:r>
        <w:t xml:space="preserve">　　「別解：勞，憂也，憂愁的意。注的有根據就可以了。《詩經》高誘注，勞，憂也。憂愁並不怨。」</w:t>
      </w:r>
      <w:r>
        <w:t xml:space="preserve"> </w:t>
      </w:r>
    </w:p>
    <w:p w14:paraId="33AA86B8" w14:textId="77777777" w:rsidR="002D4DAF" w:rsidRDefault="002D4DAF">
      <w:pPr>
        <w:pStyle w:val="a3"/>
      </w:pPr>
      <w:r>
        <w:t xml:space="preserve">　　「以上二說並列可從。」以上兩種說法可以依從。</w:t>
      </w:r>
      <w:r>
        <w:t xml:space="preserve"> </w:t>
      </w:r>
    </w:p>
    <w:p w14:paraId="2FFF1584" w14:textId="77777777" w:rsidR="002D4DAF" w:rsidRDefault="002D4DAF">
      <w:pPr>
        <w:pStyle w:val="a3"/>
      </w:pPr>
      <w:r>
        <w:lastRenderedPageBreak/>
        <w:t xml:space="preserve">　　「凡《詩經》說實勞我心，勞心忉忉，勞心慱慱，勞人草草，勞都作憂」，憂慮的這個憂。</w:t>
      </w:r>
      <w:r>
        <w:t xml:space="preserve"> </w:t>
      </w:r>
    </w:p>
    <w:p w14:paraId="67E9262B" w14:textId="77777777" w:rsidR="002D4DAF" w:rsidRDefault="002D4DAF">
      <w:pPr>
        <w:pStyle w:val="a3"/>
      </w:pPr>
      <w:r>
        <w:t xml:space="preserve">　　好，這一章書我們就學習到這個地方，祝大家新春吉祥，法喜充滿。阿彌陀佛！　　</w:t>
      </w:r>
    </w:p>
    <w:sectPr w:rsidR="002D4D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76CC" w14:textId="77777777" w:rsidR="002D4DAF" w:rsidRDefault="002D4DAF" w:rsidP="009C5681">
      <w:r>
        <w:separator/>
      </w:r>
    </w:p>
  </w:endnote>
  <w:endnote w:type="continuationSeparator" w:id="0">
    <w:p w14:paraId="62C24492" w14:textId="77777777" w:rsidR="002D4DAF" w:rsidRDefault="002D4DAF" w:rsidP="009C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49885" w14:textId="77777777" w:rsidR="002D4DAF" w:rsidRDefault="002D4DAF" w:rsidP="009C5681">
      <w:r>
        <w:separator/>
      </w:r>
    </w:p>
  </w:footnote>
  <w:footnote w:type="continuationSeparator" w:id="0">
    <w:p w14:paraId="39EDC0BE" w14:textId="77777777" w:rsidR="002D4DAF" w:rsidRDefault="002D4DAF" w:rsidP="009C5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81"/>
    <w:rsid w:val="002D4DAF"/>
    <w:rsid w:val="007931EE"/>
    <w:rsid w:val="009C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20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