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2CC2" w14:textId="77777777" w:rsidR="00760F21" w:rsidRDefault="00760F21">
      <w:r>
        <w:t xml:space="preserve">每日論語　　悟道法師主講　　（第九十五集）　　</w:t>
      </w:r>
      <w:r>
        <w:t>2019/2/25</w:t>
      </w:r>
      <w:r>
        <w:t xml:space="preserve">　　廣東揭陽　　檔名：</w:t>
      </w:r>
      <w:r>
        <w:t xml:space="preserve">WD20-037-0095 </w:t>
      </w:r>
    </w:p>
    <w:p w14:paraId="756B0AEF" w14:textId="77777777" w:rsidR="00760F21" w:rsidRDefault="00760F21">
      <w:pPr>
        <w:pStyle w:val="a3"/>
      </w:pPr>
      <w:r>
        <w:t xml:space="preserve">　　諸位同學，大家早上好！我們繼續來學習雪廬老人的《論語講記》，「里仁篇」第二十章。</w:t>
      </w:r>
      <w:r>
        <w:t xml:space="preserve"> </w:t>
      </w:r>
    </w:p>
    <w:p w14:paraId="268F585B" w14:textId="77777777" w:rsidR="00760F21" w:rsidRDefault="00760F21">
      <w:pPr>
        <w:pStyle w:val="a3"/>
      </w:pPr>
      <w:r>
        <w:t xml:space="preserve">　　【子曰。父母在。不遠遊。遊必有方。】</w:t>
      </w:r>
      <w:r>
        <w:t xml:space="preserve"> </w:t>
      </w:r>
    </w:p>
    <w:p w14:paraId="643D5354" w14:textId="77777777" w:rsidR="00760F21" w:rsidRDefault="00760F21">
      <w:pPr>
        <w:pStyle w:val="a3"/>
      </w:pPr>
      <w:r>
        <w:t xml:space="preserve">　　「《集釋》餘論的《讀四書大全說》所發之議論太多，實在不必，佛法不主張議論。」這一章一開始雪廬老人講，《集釋》以外這些注解，《讀四書大全說》所說的議論太多，就是節外生枝，實在沒有必要，佛法也不主張議論。這是雪廬老人他給我們舉出來。</w:t>
      </w:r>
      <w:r>
        <w:t xml:space="preserve"> </w:t>
      </w:r>
    </w:p>
    <w:p w14:paraId="1FB2A72B" w14:textId="77777777" w:rsidR="00760F21" w:rsidRDefault="00760F21">
      <w:pPr>
        <w:pStyle w:val="a3"/>
      </w:pPr>
      <w:r>
        <w:t xml:space="preserve">　　『子曰：父母在』，「父母健在時，我們的身體也可自由，也可不自由，可以斟酌」，就是父母在世的時候，我們自身可以自由到外面去，也可以不自由守在家裡，自己斟酌情況。「若已經無父母了，而祖宗香煙不能接續，則不能自由；父母在時，這點絕對不能自由。」如果已經沒有父母了，祖宗的香煙不能接下去，這個時候也不能自由，自己要跑到哪裡就去哪裡，父母在的時候這點絕對不能夠自由。「天下父母疼小兒」，所謂天下父母心，「父母沒有不關心的時候，縱使在外好，父母也掛牽，見到兒女就認為瘦了」，實際上也不一定瘦，「因為掛心的緣故」。「文王視民如傷，百姓有地有土，文王視之如殘缺有受傷，不滿他的意，這是父母的心。」所以文王視百姓如兒女。「但兒女不懂父母的心。從前父母都懂得愛兒女，特別的很少，如舜王的父親瞽叟，天下少之又少，那是老怪物。但是當兒女的不懂父母心，父母唯其疾之憂。真有孝心，自己不幹壞事，幹的事對得起父母。」</w:t>
      </w:r>
      <w:r>
        <w:t xml:space="preserve"> </w:t>
      </w:r>
    </w:p>
    <w:p w14:paraId="23C3D472" w14:textId="77777777" w:rsidR="00760F21" w:rsidRDefault="00760F21">
      <w:pPr>
        <w:pStyle w:val="a3"/>
      </w:pPr>
      <w:r>
        <w:t xml:space="preserve">　　『不遠遊』，「不遠遊，到什麼地方必須報告」，向父母匯報，「如明日移往何處，臨別去前也須先通信稟告」，稟報父母，「因父母的心時刻不忘下你」，沒有忘下兒女。「你別虧負父母的心，得安慰安慰父母心，安慰父母的心便是孝順。真懂孝順的人是在養父母的心，所以古時皇帝奉養太后心的地處，名養心堂」，古時候皇帝奉養母親的地方，這個名稱叫養心堂。所以養父母的心才是孝順。「今日子女不行，父母也變了，這是教育的關係。」現在沒有這個教育了，沒有教孝這個教育，做子女的不行，父母也變了，也不行了，沒有教孝的這個教育。「從前人不但求物質生活，也講精神生活」，這古時候的人求物質生活，也講求精神生活；物質生活就是現在講的經濟，經濟是物質生活，但是也不能缺乏精神生活，應該物質、精神同時並重。「古代有小戲、小曲說」，戲曲裡面說：「心常掛你，不見你，雖食龍肝不飽；見了你，喝涼水也飽。說得入情入理」，父母掛念兒女的心就這樣。「現今的兒女只要物質享受，吃好穿好就可以了，無人情、無血性。」這是現在做兒女的，大多數都是這個樣子，只求物質享受，要吃好的、要穿好的，吃喝玩樂，這樣就可以了，對人情世故都不懂，無人情、無血性。「父母也變了教育，都不行了」，做父母的</w:t>
      </w:r>
      <w:r>
        <w:t>理也不懂。但是父母還是父母，「父母與他人絕對不一樣，重要時候本性就表現出來」。這是天下父母心。</w:t>
      </w:r>
      <w:r>
        <w:t xml:space="preserve"> </w:t>
      </w:r>
    </w:p>
    <w:p w14:paraId="2AB9D941" w14:textId="77777777" w:rsidR="00760F21" w:rsidRDefault="00760F21">
      <w:pPr>
        <w:pStyle w:val="a3"/>
      </w:pPr>
      <w:r>
        <w:t xml:space="preserve">　　下面一句，『遊必有方』。「方，方向。古人注解作常也，《禮記》就注方為常，意思是有一定的事。不在家就是遊，所做有正常的事情。」在外面做什麼事情，讓父母知道；或者出門遠遊，要去什麼地方旅行，也要向父母匯報，讓他知道你在哪</w:t>
      </w:r>
      <w:r>
        <w:lastRenderedPageBreak/>
        <w:t>裡。像現在電話很方便，走到哪裡打個電話，讓父母知道，讓他安心。所以這章書主要處處能體會父母的心情，做兒女的要常常想到父母的心情，做任何事情都要讓父母知道，讓他安心、讓他放心。</w:t>
      </w:r>
      <w:r>
        <w:t xml:space="preserve"> </w:t>
      </w:r>
    </w:p>
    <w:p w14:paraId="36D06329" w14:textId="77777777" w:rsidR="00760F21" w:rsidRDefault="00760F21">
      <w:pPr>
        <w:pStyle w:val="a3"/>
      </w:pPr>
      <w:r>
        <w:t xml:space="preserve">　　好，這一章書我們就學習到這裡，祝大家新春吉祥，法喜充滿，阿彌陀佛！　　</w:t>
      </w:r>
    </w:p>
    <w:sectPr w:rsidR="00760F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8D9C" w14:textId="77777777" w:rsidR="00760F21" w:rsidRDefault="00760F21" w:rsidP="00B12CA8">
      <w:r>
        <w:separator/>
      </w:r>
    </w:p>
  </w:endnote>
  <w:endnote w:type="continuationSeparator" w:id="0">
    <w:p w14:paraId="66CF7E8B" w14:textId="77777777" w:rsidR="00760F21" w:rsidRDefault="00760F21" w:rsidP="00B12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97D3F" w14:textId="77777777" w:rsidR="00760F21" w:rsidRDefault="00760F21" w:rsidP="00B12CA8">
      <w:r>
        <w:separator/>
      </w:r>
    </w:p>
  </w:footnote>
  <w:footnote w:type="continuationSeparator" w:id="0">
    <w:p w14:paraId="35D48B96" w14:textId="77777777" w:rsidR="00760F21" w:rsidRDefault="00760F21" w:rsidP="00B12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A8"/>
    <w:rsid w:val="00760F21"/>
    <w:rsid w:val="007931EE"/>
    <w:rsid w:val="00B1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963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C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C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C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C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