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4F2C" w14:textId="77777777" w:rsidR="002378DA" w:rsidRDefault="002378DA">
      <w:r>
        <w:t xml:space="preserve">每日論語　　悟道法師主講　　（第一Ｏ四集）　　</w:t>
      </w:r>
      <w:r>
        <w:t>2019/3/6</w:t>
      </w:r>
      <w:r>
        <w:t xml:space="preserve">　　澳洲　　檔名：</w:t>
      </w:r>
      <w:r>
        <w:t xml:space="preserve">WD20-037-0104 </w:t>
      </w:r>
    </w:p>
    <w:p w14:paraId="09D32F3E" w14:textId="77777777" w:rsidR="002378DA" w:rsidRDefault="002378DA">
      <w:pPr>
        <w:pStyle w:val="a3"/>
      </w:pPr>
      <w:r>
        <w:t xml:space="preserve">　　諸位同學，大家早上好！我們繼續來學習雪廬老人的《論語講記》，「公冶長篇」第二章。</w:t>
      </w:r>
      <w:r>
        <w:t xml:space="preserve"> </w:t>
      </w:r>
    </w:p>
    <w:p w14:paraId="05C8125A" w14:textId="77777777" w:rsidR="002378DA" w:rsidRDefault="002378DA">
      <w:pPr>
        <w:pStyle w:val="a3"/>
      </w:pPr>
      <w:r>
        <w:t xml:space="preserve">　　【子謂南容。邦有道不廢。邦無道則免於刑戮。以其兄之子妻之。】</w:t>
      </w:r>
      <w:r>
        <w:t xml:space="preserve"> </w:t>
      </w:r>
    </w:p>
    <w:p w14:paraId="6774BC58" w14:textId="77777777" w:rsidR="002378DA" w:rsidRDefault="002378DA">
      <w:pPr>
        <w:pStyle w:val="a3"/>
      </w:pPr>
      <w:r>
        <w:t xml:space="preserve">　　「這一章與上一章，自古就是分兩章，朱子才挪為一章。」這是到宋朝朱子才把它合為一章，在朱子之前，自古以來這一章跟上面一章就是分為兩章。</w:t>
      </w:r>
      <w:r>
        <w:t xml:space="preserve"> </w:t>
      </w:r>
    </w:p>
    <w:p w14:paraId="046A57E9" w14:textId="77777777" w:rsidR="002378DA" w:rsidRDefault="002378DA">
      <w:pPr>
        <w:pStyle w:val="a3"/>
      </w:pPr>
      <w:r>
        <w:t xml:space="preserve">　　『子謂南容』，「南容有二說，一說是孟懿子的弟弟南宮敬叔；一說是南容适。（見王引之引《春秋》）。指南容适為適宜，因為孔子對於三家很不滿意，而且南宮敬叔是公子王孫，也不會要娶孔子兄長的女兒。而且先進篇說，南容三復白圭，南容很謹慎，孟懿子家中不會有這個。」</w:t>
      </w:r>
      <w:r>
        <w:t xml:space="preserve"> </w:t>
      </w:r>
    </w:p>
    <w:p w14:paraId="7EBB343F" w14:textId="77777777" w:rsidR="002378DA" w:rsidRDefault="002378DA">
      <w:pPr>
        <w:pStyle w:val="a3"/>
      </w:pPr>
      <w:r>
        <w:t xml:space="preserve">　　『邦有道不廢，邦無道則免於刑戮』，「邦，本來是國字」，以前這個國就是用邦這個字，「到了漢朝才改為國」，我們現在國家的國，「為了避諱劉邦」，這是為了避諱，所以到了漢朝才改為國，之前國都是用邦。也就是說邦有道，我們現在的話講叫國有道。「有道，指齊治平的大道」，修身、齊家、治國、平天下，這個就是有道。國家治理得好，國家有道，治理得好。所以有道是指從天子到庶人都是從修身、齊家、治國、平天下，大家都有這個道，大家都行這個道。「不廢，指沒有閒著，用得上。」邦有道，都用得上。「若邦無道，動不動就遭到刑戮」，邦無道，那就動不動就遭到刑罰、殺戮。</w:t>
      </w:r>
      <w:r>
        <w:t xml:space="preserve"> </w:t>
      </w:r>
    </w:p>
    <w:p w14:paraId="6ED05456" w14:textId="77777777" w:rsidR="002378DA" w:rsidRDefault="002378DA">
      <w:pPr>
        <w:pStyle w:val="a3"/>
      </w:pPr>
      <w:r>
        <w:t xml:space="preserve">　　「國有道時選賢舉能，只問自己有沒有德學，有德能可以出來為仕。若有德學，國必訪賢，不會使賢人賦閒。若是國家訪求不到，也可求仕，但不是競選，可以出來為國家辦事，會使國家更好。也可隱而不見，例如漢代的嚴光，又如堯時候的許由。」這兩個人就是隱而不現，隱居起來，沒有出來做官。因為他那個時代，政治本來就辦得很好，可以說人才濟濟，「自己又何必出去呢」？所以他已經辦得很好了，那就自己可以隱居，退而不現，就不必出來了。「所以進退之道理是大學問」，就是看什麼時代、什麼環境，這個進退的道理是大學問。</w:t>
      </w:r>
      <w:r>
        <w:t xml:space="preserve"> </w:t>
      </w:r>
    </w:p>
    <w:p w14:paraId="49406665" w14:textId="77777777" w:rsidR="002378DA" w:rsidRDefault="002378DA">
      <w:pPr>
        <w:pStyle w:val="a3"/>
      </w:pPr>
      <w:r>
        <w:t xml:space="preserve">　　「不知進退的道理，比如揚雄幫助王莽」，漢朝王莽篡漢、造反，他幫錯了。「蔡邕幫助董卓而遭害」，這是三國時代的，也是幫錯了。「去就進退的道理，是這一章的章旨。」去就進退的道理，就是這一章主要的章旨。</w:t>
      </w:r>
      <w:r>
        <w:t xml:space="preserve"> </w:t>
      </w:r>
    </w:p>
    <w:p w14:paraId="46A513F9" w14:textId="77777777" w:rsidR="002378DA" w:rsidRDefault="002378DA">
      <w:pPr>
        <w:pStyle w:val="a3"/>
      </w:pPr>
      <w:r>
        <w:t xml:space="preserve">　　「諸位求學應當細心，吾九十餘歲才知道《周禮．秋官》有禽言獸語。」這句話也非常重要，雪廬老人提醒我們求學應當細心，他九十幾歲才知道《周禮．秋官》有禽言獸語，我們更當要細心來求學。</w:t>
      </w:r>
      <w:r>
        <w:t xml:space="preserve"> </w:t>
      </w:r>
    </w:p>
    <w:p w14:paraId="45FC04C8" w14:textId="77777777" w:rsidR="002378DA" w:rsidRDefault="002378DA">
      <w:pPr>
        <w:pStyle w:val="a3"/>
      </w:pPr>
      <w:r>
        <w:t xml:space="preserve">　　『以其兄之子妻之』，「以其兄之子妻之，孔子為什要將姪女嫁給南容為妻？」「書上沒有說」，書上沒有說明。「集注有注」，《論語》的集注、注解有注明，注明為什麼孔子將姪女嫁給南容為妻。這個注解雪廬老人講，「那是我假理想，沒有根據，不可牽合附會」。雪廬老人給我們舉出來，那是注解的人他的想法，沒有根據，</w:t>
      </w:r>
      <w:r>
        <w:lastRenderedPageBreak/>
        <w:t>我們不可以牽合附會。「著書千古事，寧可付之闕如」，闕如就是缺少，著書立說作注解是千古的事情，如果不確定，不能肯定的地方，寧可讓它從缺，就是你不要去注解，寧可不去注解，不要注解錯了。</w:t>
      </w:r>
      <w:r>
        <w:t xml:space="preserve"> </w:t>
      </w:r>
    </w:p>
    <w:p w14:paraId="705057E0" w14:textId="77777777" w:rsidR="002378DA" w:rsidRDefault="002378DA">
      <w:pPr>
        <w:pStyle w:val="a3"/>
      </w:pPr>
      <w:r>
        <w:t xml:space="preserve">　　「去就的道理，不容易」，這是講去就進退，哪些事，遇到什麼樣的人事，我們應該是進還是退，這個不容易。「而且教也教不得」，教也教不來。「唯有學問到的時候，事情來了，觀察而決斷，這才可說通達去就之道。」這個是要學問的，要有觀察事情的能力，自己該進還是該退。</w:t>
      </w:r>
      <w:r>
        <w:t xml:space="preserve"> </w:t>
      </w:r>
    </w:p>
    <w:p w14:paraId="554829CE" w14:textId="77777777" w:rsidR="002378DA" w:rsidRDefault="002378DA">
      <w:pPr>
        <w:pStyle w:val="a3"/>
      </w:pPr>
      <w:r>
        <w:t xml:space="preserve">　　「中國古代人讀書講究念，吾講書時，常常為大家說要念，有人以為是吾的主張，其實不是如此。吾沒有學問，說的都是古人的話，例如曾提到古人說的書讀千遍，其義自見。現在中央副刊就有人提出來，可以作為吾的引證。必須要知道，學問到時，才會有發明；學問不到的時候，絕不會有發明。中國自三國時候，董遇就說書讀百遍，其義自見，他教學生便是如此。」「今人提倡大膽假設，現今的人便大膽說」，現在人提倡的，所以很多人都是大膽假設以他的說法，但是小心印證的人就很少了。只有大膽假設，沒有小心印證。「今天把中副亦耕這一篇〈諷誦涵泳與語文教育〉一文印出來，你們可以讀閱。」</w:t>
      </w:r>
      <w:r>
        <w:t xml:space="preserve"> </w:t>
      </w:r>
    </w:p>
    <w:p w14:paraId="4C78A05F" w14:textId="77777777" w:rsidR="002378DA" w:rsidRDefault="002378DA">
      <w:pPr>
        <w:pStyle w:val="a3"/>
      </w:pPr>
      <w:r>
        <w:t xml:space="preserve">　　這篇文我也發到翌茹老師的信箱，請翌茹老師可以印出來，或者轉發在微信，跟大家來分享。</w:t>
      </w:r>
      <w:r>
        <w:t xml:space="preserve"> </w:t>
      </w:r>
    </w:p>
    <w:p w14:paraId="4AAD42DD" w14:textId="77777777" w:rsidR="002378DA" w:rsidRDefault="002378DA">
      <w:pPr>
        <w:pStyle w:val="a3"/>
      </w:pPr>
      <w:r>
        <w:t xml:space="preserve">　　好，今天我們就學習到這個地方，祝大家福慧增長，法喜充滿。阿彌陀佛！　　</w:t>
      </w:r>
    </w:p>
    <w:sectPr w:rsidR="002378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DC15" w14:textId="77777777" w:rsidR="002378DA" w:rsidRDefault="002378DA" w:rsidP="00C25CE5">
      <w:r>
        <w:separator/>
      </w:r>
    </w:p>
  </w:endnote>
  <w:endnote w:type="continuationSeparator" w:id="0">
    <w:p w14:paraId="2383CADA" w14:textId="77777777" w:rsidR="002378DA" w:rsidRDefault="002378DA" w:rsidP="00C2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9493" w14:textId="77777777" w:rsidR="002378DA" w:rsidRDefault="002378DA" w:rsidP="00C25CE5">
      <w:r>
        <w:separator/>
      </w:r>
    </w:p>
  </w:footnote>
  <w:footnote w:type="continuationSeparator" w:id="0">
    <w:p w14:paraId="7C4BBC44" w14:textId="77777777" w:rsidR="002378DA" w:rsidRDefault="002378DA" w:rsidP="00C25C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E5"/>
    <w:rsid w:val="002378DA"/>
    <w:rsid w:val="007931EE"/>
    <w:rsid w:val="00C2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C8B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5C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5C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5C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5C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