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4B54" w14:textId="77777777" w:rsidR="002030E2" w:rsidRDefault="002030E2">
      <w:r>
        <w:t xml:space="preserve">每日論語　　悟道法師主講　　（第一一一集）　　</w:t>
      </w:r>
      <w:r>
        <w:t>2019/3/13</w:t>
      </w:r>
      <w:r>
        <w:t xml:space="preserve">　　澳洲　　檔名：</w:t>
      </w:r>
      <w:r>
        <w:t xml:space="preserve">WD20-037-0111 </w:t>
      </w:r>
    </w:p>
    <w:p w14:paraId="2DFEADDC" w14:textId="77777777" w:rsidR="002030E2" w:rsidRDefault="002030E2">
      <w:pPr>
        <w:pStyle w:val="a3"/>
      </w:pPr>
      <w:r>
        <w:t xml:space="preserve">　　諸位同學，大家早上好！我們繼續來學習雪廬老人的《論語講記》，「公冶長篇」第九章。</w:t>
      </w:r>
      <w:r>
        <w:t xml:space="preserve"> </w:t>
      </w:r>
    </w:p>
    <w:p w14:paraId="1E608A52" w14:textId="77777777" w:rsidR="002030E2" w:rsidRDefault="002030E2">
      <w:pPr>
        <w:pStyle w:val="a3"/>
      </w:pPr>
      <w:r>
        <w:t xml:space="preserve">　　【子謂子貢曰。女與回也孰愈。對曰。賜也何敢望回。回也聞一以知十。賜也聞一以知二。子曰。弗如也。吾與女弗如也。】</w:t>
      </w:r>
      <w:r>
        <w:t xml:space="preserve"> </w:t>
      </w:r>
    </w:p>
    <w:p w14:paraId="78A72482" w14:textId="77777777" w:rsidR="002030E2" w:rsidRDefault="002030E2">
      <w:pPr>
        <w:pStyle w:val="a3"/>
      </w:pPr>
      <w:r>
        <w:t xml:space="preserve">　　「上章說事，論能力，這一段說理，論道，很難，要仔細諦聽。聽懂與否，要看個人。」</w:t>
      </w:r>
      <w:r>
        <w:t xml:space="preserve"> </w:t>
      </w:r>
    </w:p>
    <w:p w14:paraId="3F307C53" w14:textId="77777777" w:rsidR="002030E2" w:rsidRDefault="002030E2">
      <w:pPr>
        <w:pStyle w:val="a3"/>
      </w:pPr>
      <w:r>
        <w:t xml:space="preserve">　　「與，俱的意思。」這一章書雪廬老人開頭就給我們講，這章書是論道，這一段是論道；上一章是說事、論能力。這一章是論道就很難，要仔細諦聽，聽懂、聽不懂就要看個人了。</w:t>
      </w:r>
      <w:r>
        <w:t xml:space="preserve"> </w:t>
      </w:r>
    </w:p>
    <w:p w14:paraId="421E419C" w14:textId="77777777" w:rsidR="002030E2" w:rsidRDefault="002030E2">
      <w:pPr>
        <w:pStyle w:val="a3"/>
      </w:pPr>
      <w:r>
        <w:t xml:space="preserve">　　「你們在此上學，各人的機緣不必跟外人講，講了容易起爭執。人虛心，學問就會進步，道德也必定暗暗的增長，福德善根自然會來。不虛心的人，狂妄充能是無知之輩。」這是狂妄，充作有能力這是無知。「與他說，人不領情，反而毀謗你，所以不能光有慈悲心而已。《論語》這部書不容易懂，注解《論語》的都是有學問的人。美國華僑請吾翻譯佛經，吾屢屢不幹，後來說只翻譯經注，而且是翻古人的注，最終也沒有結果，就是知道當中的難處，這也是台中學風的好處。現今就有很多人狂妄荒誕想要翻譯佛經，他翻譯以後是要大家誦，也要大家看。唉！凡是賣假的，大家反而大力吹捧，賣真貨人家反而不要。」這一段話，雪廬老人講得也是語重心長，現在的人不懂，又要做這些事情，這個也是做出來都不是真實的東西。但是現在人喜歡這些，講真的反而人家就不理會了。</w:t>
      </w:r>
      <w:r>
        <w:t xml:space="preserve"> </w:t>
      </w:r>
    </w:p>
    <w:p w14:paraId="1DC7E620" w14:textId="77777777" w:rsidR="002030E2" w:rsidRDefault="002030E2">
      <w:pPr>
        <w:pStyle w:val="a3"/>
      </w:pPr>
      <w:r>
        <w:t xml:space="preserve">　　『子謂子貢曰：女與回也孰愈？』孔子跟子貢講，你跟顏回誰比較優勝？「孔子為什麼對子貢說，因為那時候有人以為子貢比孔子賢德。再者孔子處處讚歎顏回，不太讚歎子貢。」</w:t>
      </w:r>
      <w:r>
        <w:t xml:space="preserve"> </w:t>
      </w:r>
    </w:p>
    <w:p w14:paraId="18D4150C" w14:textId="77777777" w:rsidR="002030E2" w:rsidRDefault="002030E2">
      <w:pPr>
        <w:pStyle w:val="a3"/>
      </w:pPr>
      <w:r>
        <w:t xml:space="preserve">　　「這一次與子貢談話。女與回也孰愈，愈就是勝也。」勝就是誰比較殊勝、比較優勝，你們的道德學問誰比較高？「因為子貢名聲響徹天下（很有名），顏回卻默默無名。」顏回沒出名，在當時沒有出名。下面子貢回話了：</w:t>
      </w:r>
      <w:r>
        <w:t xml:space="preserve"> </w:t>
      </w:r>
    </w:p>
    <w:p w14:paraId="1B382269" w14:textId="77777777" w:rsidR="002030E2" w:rsidRDefault="002030E2">
      <w:pPr>
        <w:pStyle w:val="a3"/>
      </w:pPr>
      <w:r>
        <w:t xml:space="preserve">　　『對曰：賜也何敢望回，』「賜也何敢望回，端木賜不敢與他看齊。」端木賜就是子貢他的姓名，不敢跟顏回來相比，「為什麼？」</w:t>
      </w:r>
      <w:r>
        <w:t xml:space="preserve"> </w:t>
      </w:r>
    </w:p>
    <w:p w14:paraId="538CE0B3" w14:textId="77777777" w:rsidR="002030E2" w:rsidRDefault="002030E2">
      <w:pPr>
        <w:pStyle w:val="a3"/>
      </w:pPr>
      <w:r>
        <w:t xml:space="preserve">　　『回也聞一以知十，賜也聞一以知二。』就是顏回聞一知十，子貢他自己說，他聞一只知道二，所以不敢與他看齊，跟他境界層次差很多很多。「回也聞一以知十，賜也聞一以知二。集注說」，這是《論語》的一部注解叫《集注》，《集注》裡面解釋這兩句話，「一數之始」，一就是數字的開始，「十數之終」，就是一個整數。「二者，一之對也」，這是《集注》解釋。「再看餘論，十不是指實數，而是滿數，例如華嚴之以十表示無盡的法門，二也不是實指二件事，是舉一能反三，二是一的倍數。」一加一倍就是二，餘論是作這麼解釋。</w:t>
      </w:r>
      <w:r>
        <w:t xml:space="preserve"> </w:t>
      </w:r>
    </w:p>
    <w:p w14:paraId="5E95029A" w14:textId="77777777" w:rsidR="002030E2" w:rsidRDefault="002030E2">
      <w:pPr>
        <w:pStyle w:val="a3"/>
      </w:pPr>
      <w:r>
        <w:lastRenderedPageBreak/>
        <w:t xml:space="preserve">　　『子曰：弗如也，』「子曰，弗如也，就是你這樣講法，是不如顏淵了。」就不如顏淵，沒有他的程度高了。</w:t>
      </w:r>
      <w:r>
        <w:t xml:space="preserve"> </w:t>
      </w:r>
    </w:p>
    <w:p w14:paraId="1591A40A" w14:textId="77777777" w:rsidR="002030E2" w:rsidRDefault="002030E2">
      <w:pPr>
        <w:pStyle w:val="a3"/>
      </w:pPr>
      <w:r>
        <w:t xml:space="preserve">　　『吾與女弗如也。』「吾與女弗如也。與的講法有若干種，這裡不當許可講，」不是當作許可來講。「應當同講」，同就是相同。「女與弗之間，從前版本有一個俱字，漢儒書中不止一書都有俱字，恐怕是被宋儒去掉，以為比較好講，程樹德氏按語中辨明得很詳細。」在程樹德「按語」當中，辨明俱這個字，辨別得很詳細。所以這裡與，這是當作同來講，吾與女弗如，吾就是我，我同你一樣，就是孔子說我跟你子貢是一樣的。不可以當作許可講，所以與這個字是同。</w:t>
      </w:r>
      <w:r>
        <w:t xml:space="preserve"> </w:t>
      </w:r>
    </w:p>
    <w:p w14:paraId="0F4EE229" w14:textId="77777777" w:rsidR="002030E2" w:rsidRDefault="002030E2">
      <w:pPr>
        <w:pStyle w:val="a3"/>
      </w:pPr>
      <w:r>
        <w:t xml:space="preserve">　　「吾同你都不如顏淵」，我跟你相同，我們兩個都不如顏淵。「一般人以為如此是貶抑孔子」，那不就是把孔子貶低了嗎？孔子還不如顏淵。「又有人說，以為怕子貢下不了台，所以孔子與他陪襯。這些講法，吾都不贊成」，雪廬老人說這種《注解》講法不贊成。「都是以小人心量度君子之肚，當知孔子說的是真的。」孔子當中講的那是真話，那不是陪襯的話，不是怕子貢下不了台，他自己貶低自己來給他陪襯陪襯，不是這樣的，他講是真的。</w:t>
      </w:r>
      <w:r>
        <w:t xml:space="preserve"> </w:t>
      </w:r>
    </w:p>
    <w:p w14:paraId="60470028" w14:textId="77777777" w:rsidR="002030E2" w:rsidRDefault="002030E2">
      <w:pPr>
        <w:pStyle w:val="a3"/>
      </w:pPr>
      <w:r>
        <w:t xml:space="preserve">　　「為什麼孔子說不如顏回？考異中，何治運《雜著》，有人問我說，漢儒都如此說，依漢儒的講話，孔子果真不如顏淵嗎？何氏說：天之未喪斯文也，匡人其如予何？這是孔子的樂天知命。你們有人能樂天嗎？整天怨天尤人，知命知天命嗎？」這是雪廬老人的問話，樂天知命也不容易，如果我們常常怨天尤人，這就不樂天了，就怨天了。樂天知命，什麼叫知命？知天命，我們知天命嗎？問這個話，也是讓我們自己反省的話。「何氏說：子在，回何敢死？此顏子之樂天知命」，這就是舉出顏回他樂天知命。「顏子未五十而知天命」，他還不到五十歲就知天命，孔子他是五十知天命，他五十歲才知天命，「孔子之不如一也」，這是孔子不如顏回的一個。「吾與回言終日，不違如愚，回也非助我者也，於吾言無所不說，顏子未六十而耳順，孔子之不如二也。」那第二個了，顏子他還沒有到六十歲，因為顏子早死，四十幾歲就過世了，他在世的時候沒有到六十歲，他已經耳順了。孔子是六十耳順，孔子就不如他了，孔子六十歲才耳順，他不到六十歲就耳順，不如他第二個方面了。所以「若天假以年，則入聖域矣。」孔子到七十歲，還希望天多給他幾年時間來學，就能入聖人之域了。「交友若結交不如你的人，都不能幫助你。」</w:t>
      </w:r>
      <w:r>
        <w:t xml:space="preserve"> </w:t>
      </w:r>
    </w:p>
    <w:p w14:paraId="1EDDE064" w14:textId="77777777" w:rsidR="002030E2" w:rsidRDefault="002030E2">
      <w:pPr>
        <w:pStyle w:val="a3"/>
      </w:pPr>
      <w:r>
        <w:t xml:space="preserve">　　「孔子是聖人，他還以為有更高的聖者，學生中也有勝過他的人。」你看這是孔子他的態度，學生也有勝過他的。「你們必須學謙虛，人外有人，天外有天。佛的善知識是提婆達多，這是出自法華經。」</w:t>
      </w:r>
      <w:r>
        <w:t xml:space="preserve"> </w:t>
      </w:r>
    </w:p>
    <w:p w14:paraId="40F61859" w14:textId="77777777" w:rsidR="002030E2" w:rsidRDefault="002030E2">
      <w:pPr>
        <w:pStyle w:val="a3"/>
      </w:pPr>
      <w:r>
        <w:t xml:space="preserve">　　「餘論：胡氏泳曰：十者，數之終，以其究極之所至而言。二者，一之對，以其彼此之相形而言。」這是胡氏泳的解釋。</w:t>
      </w:r>
      <w:r>
        <w:t xml:space="preserve"> </w:t>
      </w:r>
    </w:p>
    <w:p w14:paraId="3C10D4C4" w14:textId="77777777" w:rsidR="002030E2" w:rsidRDefault="002030E2">
      <w:pPr>
        <w:pStyle w:val="a3"/>
      </w:pPr>
      <w:r>
        <w:t xml:space="preserve">　　「輔氏廣曰：聞一知十，不是聞一件限定知得十件，只是知得周遍，始終無遺。」這是輔氏廣解釋的。「故無所不說。聞一知二，亦不是聞一件知得二件，只是知得通達，無所執泥。知得周遍，始終無遺，故無所不說。知得通達，無所執泥，故告往知來也。」</w:t>
      </w:r>
      <w:r>
        <w:t xml:space="preserve"> </w:t>
      </w:r>
    </w:p>
    <w:p w14:paraId="6CBF3326" w14:textId="77777777" w:rsidR="002030E2" w:rsidRDefault="002030E2">
      <w:pPr>
        <w:pStyle w:val="a3"/>
      </w:pPr>
      <w:r>
        <w:lastRenderedPageBreak/>
        <w:t xml:space="preserve">　　「反身錄」，這又舉出《反身錄》的注解。「賜之折伏回，徒折伏其知解。豈知回之所以為回，非徒知解也。潛心性命，學敦大原，一澈盡澈，故明無不照。賜則惟事聞見，學昧大原，其聞一知二，乃聰明用事。推測之知，與悟後之知，自不可同日而語。不但聞一知二弗如回，即聞一知百知千，總是門外之見，終不切己，亦豈得如回耶？是故學惟敦本之惟要，敦本則知解盡忘，心如太虛，無知而無不知，一以貫之矣。」</w:t>
      </w:r>
      <w:r>
        <w:t xml:space="preserve"> </w:t>
      </w:r>
    </w:p>
    <w:p w14:paraId="7E1A31BC" w14:textId="77777777" w:rsidR="002030E2" w:rsidRDefault="002030E2">
      <w:pPr>
        <w:pStyle w:val="a3"/>
      </w:pPr>
      <w:r>
        <w:t xml:space="preserve">　　「只是知解，那是小人儒，不是君子儒。所以吾常說（雪廬老人常常講），通一經，一切經就都通。禮記云：記問之學，不足以為人師。要緊在性命之學，顏回能與孔子相契合，就在這個地方。性命之學，孔子不輕易談性與天道。吾對於《論語》上的性命之學，稍微知道，這也與佛學有關係。在性理這方面，漢儒比不上宋儒；宋儒講性理之學，反對宋儒的，以為處處講理，宋儒錯處很多，但是這個字不錯（講性這個沒有錯）。易經、六經，講理的地方很多。因為宋儒學過佛法，所以會說性理二字，你們念佛，有事一心、理一心，有事有理，有體有相，空與有都是合而不可分，不講理可以嗎？什麼事沒有理！」有事就有理。「宋儒會講性理，也是由於學過佛學的緣故。」</w:t>
      </w:r>
      <w:r>
        <w:t xml:space="preserve"> </w:t>
      </w:r>
    </w:p>
    <w:p w14:paraId="4DF30018" w14:textId="77777777" w:rsidR="002030E2" w:rsidRDefault="002030E2">
      <w:pPr>
        <w:pStyle w:val="a3"/>
      </w:pPr>
      <w:r>
        <w:t xml:space="preserve">　　「如有拘泥我法二執，就學不能到底。性是根本，懂性就懂命，那就一切都懂了。天命之謂性，率性之謂道，唯有性一動都不錯就是道。修道之謂教，教便有千變萬化。」</w:t>
      </w:r>
      <w:r>
        <w:t xml:space="preserve"> </w:t>
      </w:r>
    </w:p>
    <w:p w14:paraId="7E5769DD" w14:textId="77777777" w:rsidR="002030E2" w:rsidRDefault="002030E2">
      <w:pPr>
        <w:pStyle w:val="a3"/>
      </w:pPr>
      <w:r>
        <w:t xml:space="preserve">　　「佛家說萬法唯心造，顏淵寂照雙融，子貢多見多聞，推測的知識，與悟後的智慧，不可同日而語，所以禪宗悟後才能看經。」這是禪宗的教學法。</w:t>
      </w:r>
      <w:r>
        <w:t xml:space="preserve"> </w:t>
      </w:r>
    </w:p>
    <w:p w14:paraId="7A85389F" w14:textId="77777777" w:rsidR="002030E2" w:rsidRDefault="002030E2">
      <w:pPr>
        <w:pStyle w:val="a3"/>
      </w:pPr>
      <w:r>
        <w:t xml:space="preserve">　　「不學儒，很難進入佛門。」這雪廬老人給我們提醒，不學儒家的，就是傳統文化，沒有儒的基礎很難入佛門。「入佛門而輕視儒，那是加速末法的結束，迅速進入滅法。」入佛門輕視儒家，不重視這個基礎，學大乘佛法是沒有結果了，所以是加速末法，末法結束就進入滅法了。</w:t>
      </w:r>
      <w:r>
        <w:t xml:space="preserve"> </w:t>
      </w:r>
    </w:p>
    <w:p w14:paraId="63DA16FB" w14:textId="77777777" w:rsidR="002030E2" w:rsidRDefault="002030E2">
      <w:pPr>
        <w:pStyle w:val="a3"/>
      </w:pPr>
      <w:r>
        <w:t xml:space="preserve">　　好，今天這一段我們就學習到這裡。祝大家福慧增長，法喜充滿。阿彌陀佛！　　</w:t>
      </w:r>
    </w:p>
    <w:sectPr w:rsidR="002030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58EC7" w14:textId="77777777" w:rsidR="002030E2" w:rsidRDefault="002030E2" w:rsidP="00A77ED5">
      <w:r>
        <w:separator/>
      </w:r>
    </w:p>
  </w:endnote>
  <w:endnote w:type="continuationSeparator" w:id="0">
    <w:p w14:paraId="34CF1C02" w14:textId="77777777" w:rsidR="002030E2" w:rsidRDefault="002030E2" w:rsidP="00A77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59693" w14:textId="77777777" w:rsidR="002030E2" w:rsidRDefault="002030E2" w:rsidP="00A77ED5">
      <w:r>
        <w:separator/>
      </w:r>
    </w:p>
  </w:footnote>
  <w:footnote w:type="continuationSeparator" w:id="0">
    <w:p w14:paraId="1993C369" w14:textId="77777777" w:rsidR="002030E2" w:rsidRDefault="002030E2" w:rsidP="00A77E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D5"/>
    <w:rsid w:val="002030E2"/>
    <w:rsid w:val="007931EE"/>
    <w:rsid w:val="00A7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D88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E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E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E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E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