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3546" w14:textId="77777777" w:rsidR="000C2F39" w:rsidRDefault="000C2F39">
      <w:r>
        <w:t xml:space="preserve">每日論語　　悟道法師主講　　（第一二四集）　　</w:t>
      </w:r>
      <w:r>
        <w:t>2019/3/26</w:t>
      </w:r>
      <w:r>
        <w:t xml:space="preserve">　　台灣　　檔名：</w:t>
      </w:r>
      <w:r>
        <w:t xml:space="preserve">WD20-037-0124 </w:t>
      </w:r>
    </w:p>
    <w:p w14:paraId="6B5582B0" w14:textId="77777777" w:rsidR="000C2F39" w:rsidRDefault="000C2F39">
      <w:pPr>
        <w:pStyle w:val="a3"/>
      </w:pPr>
      <w:r>
        <w:t xml:space="preserve">　　諸位同學，大家早上好！我們繼續來學習雪廬老人的《論語講記》，「公冶長篇」第二十一章。</w:t>
      </w:r>
      <w:r>
        <w:t xml:space="preserve"> </w:t>
      </w:r>
    </w:p>
    <w:p w14:paraId="4A8385FC" w14:textId="77777777" w:rsidR="000C2F39" w:rsidRDefault="000C2F39">
      <w:pPr>
        <w:pStyle w:val="a3"/>
      </w:pPr>
      <w:r>
        <w:t xml:space="preserve">　　【子曰。甯武子邦有道則智。邦無道則愚。其智可及也。其愚不可及也。】</w:t>
      </w:r>
      <w:r>
        <w:t xml:space="preserve"> </w:t>
      </w:r>
    </w:p>
    <w:p w14:paraId="32B7EBB1" w14:textId="77777777" w:rsidR="000C2F39" w:rsidRDefault="000C2F39">
      <w:pPr>
        <w:pStyle w:val="a3"/>
      </w:pPr>
      <w:r>
        <w:t xml:space="preserve">　　『子曰：甯武子邦有道則智，邦無道則愚，其智可及也，其愚不可及也。』這個地方這個寧在姓來唸是唸甯。「寧武子邦有道則智，邦無道則愚，智是真智，愚也是真智。」這是給我們解釋，這裡講的智是真的智慧；這裡講的愚，愚痴的愚，也是真智。「寧武子的智可學得上」，就是他的智慧我們可以學得上，「他的愚我們辦不到，假裝愚就不是君子的行為」。所以這個愚不可及，智可及也，愚不可及。智我們可以學得上，他的愚我們就辦不到了。那這個愚也不能假裝，假裝就不是君子，不是君子的行為了。就如同我們念佛人，這個愚叫老實人，老實，我們真的學不來，愚不可及。看他好像沒智慧，但是大智若愚。我們不老實也不能裝老實，裝了就不是真的了，就不是君子的行為。「佛經有代大眾發問，佛云：諦聽諦聽。諦聽就是要聽真理。」佛講到重要的地方，會提醒大家要諦聽諦聽，要聽他的真理，要仔細聽。</w:t>
      </w:r>
      <w:r>
        <w:t xml:space="preserve"> </w:t>
      </w:r>
    </w:p>
    <w:p w14:paraId="54D9A24B" w14:textId="77777777" w:rsidR="000C2F39" w:rsidRDefault="000C2F39">
      <w:pPr>
        <w:pStyle w:val="a3"/>
      </w:pPr>
      <w:r>
        <w:t xml:space="preserve">　　「邦無道，智拿不出來，不拿出來，為了待時機而用。」邦就是國家，沒有道，有智慧拿不出來。那麼不拿出來，是為了等待時機，時機到了才用。時機沒有到，拿不出來，拿出來也沒用。「但是自古以來，有朋自遠方來，不亦樂乎，若人不知而不慍就很難了。有一肚子經濟學問，人們不知道他」，不認識他，「不用出來也可以」。也就是說他有學問、有道德，人家不認識，沒有辦法去施展，用不出來，那也可以，就是人不知而不慍，也不埋怨，不怨天尤人。</w:t>
      </w:r>
      <w:r>
        <w:t xml:space="preserve"> </w:t>
      </w:r>
    </w:p>
    <w:p w14:paraId="3C33EB8A" w14:textId="77777777" w:rsidR="000C2F39" w:rsidRDefault="000C2F39">
      <w:pPr>
        <w:pStyle w:val="a3"/>
      </w:pPr>
      <w:r>
        <w:t xml:space="preserve">　　「伊尹、姜子牙不如甯武子，因為伊尹鼓刀而歌，伊尹並不愚，姜太公也不愚。若伊尹不怨天尤人，何必鼓刀而歌？因為他藉鼓刀來興觀群怨。」「箕子返回淇水」，淇水是河川名，「作麥秀歌：麥秀漸漸兮，禾黍油油，彼狡童兮，不與我好兮。麥秀漸漸兮，禾黍油油，彼狡童兮，不我好仇」，這是詩。「詩言志，懂詩的人一聽就知道詩中的意思。若修養到可以不怨天不尤人」，如果修養到家了，可以做到不怨天不尤人，遇到不得意的時候，不怨天不尤人。如果伊尹不怨天不尤人，「那又何必歌呢」？也就是說何必去用詩歌來發泄呢？「這個境界很難達到。」這的確我們凡夫是達不到、做不到的。這個是入了聖賢的境界才能做到，但是我們總是要學，往這個境界來提升。</w:t>
      </w:r>
      <w:r>
        <w:t xml:space="preserve"> </w:t>
      </w:r>
    </w:p>
    <w:p w14:paraId="2EDFF43C" w14:textId="77777777" w:rsidR="000C2F39" w:rsidRDefault="000C2F39">
      <w:pPr>
        <w:pStyle w:val="a3"/>
      </w:pPr>
      <w:r>
        <w:t xml:space="preserve">　　「晉國借虞滅虢」，這個地方右邊一個老虎唸國，跟國家的國是同樣一個唸法。虢是一個地名，周文王的弟弟，他的封地，就是現在陝西，陝西省的寶雞縣，他的封地，他管理的地方。晉國借虞滅虢，「虞有脣亡齒寒的危機，宮之奇勸諫，百里奚不勸諫，秦穆公因百里奚而奠定秦國的基礎，可惜後來秦始皇等不肖子孫刨去百里奚立的根。百里奚的愚，他的愚宮之奇不可及，到秦國卻能被重用。」這是一段歷史故事，這個故事也非常精彩。大家可以去點網路，百里奚、宮之奇這個歷史典故，我們可以去看看，非常的精彩。看了這個歷史典故，再回來看這一段，就知道雪廬老人給我們舉出來的這些歷史公案。這個地方也是百里奚，他是給秦國奠定了很好的基礎，可惜後來秦始皇等，秦始皇以及不肖的子孫刨去百里奚的根，刨就是把他刮掉了。這</w:t>
      </w:r>
      <w:r>
        <w:lastRenderedPageBreak/>
        <w:t>個非常可惜的，所以秦國後來會敗這個是主要的原因。這裡講出百里奚的愚，他的愚宮之奇不可及。在其他國家，大家不重用、不重視他，到秦國卻能被重用。這段故事，請大家可以上網，點百里奚、宮之奇這個典故來看。包括伊尹、姜子牙這些資料網路上都有，大家可以點來看，就可以進一步更充分了解這一章書雪廬老人他講的含義了。</w:t>
      </w:r>
      <w:r>
        <w:t xml:space="preserve"> </w:t>
      </w:r>
    </w:p>
    <w:p w14:paraId="60A9793D" w14:textId="77777777" w:rsidR="000C2F39" w:rsidRDefault="000C2F39">
      <w:pPr>
        <w:pStyle w:val="a3"/>
      </w:pPr>
      <w:r>
        <w:t xml:space="preserve">　　好，今天我們就學習到這裡，祝大家福慧增長，法喜充滿。阿彌陀佛！　　</w:t>
      </w:r>
    </w:p>
    <w:sectPr w:rsidR="000C2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B30E" w14:textId="77777777" w:rsidR="000C2F39" w:rsidRDefault="000C2F39" w:rsidP="008175E7">
      <w:r>
        <w:separator/>
      </w:r>
    </w:p>
  </w:endnote>
  <w:endnote w:type="continuationSeparator" w:id="0">
    <w:p w14:paraId="42FD368A" w14:textId="77777777" w:rsidR="000C2F39" w:rsidRDefault="000C2F39" w:rsidP="0081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0437" w14:textId="77777777" w:rsidR="000C2F39" w:rsidRDefault="000C2F39" w:rsidP="008175E7">
      <w:r>
        <w:separator/>
      </w:r>
    </w:p>
  </w:footnote>
  <w:footnote w:type="continuationSeparator" w:id="0">
    <w:p w14:paraId="02F22C83" w14:textId="77777777" w:rsidR="000C2F39" w:rsidRDefault="000C2F39" w:rsidP="00817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E7"/>
    <w:rsid w:val="000C2F39"/>
    <w:rsid w:val="007931EE"/>
    <w:rsid w:val="0081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C11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