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56C1" w14:textId="77777777" w:rsidR="00EC5AC7" w:rsidRDefault="00EC5AC7">
      <w:r>
        <w:t xml:space="preserve">每日論語　　悟道法師主講　　（第一二九集）　　</w:t>
      </w:r>
      <w:r>
        <w:t>2019/3/31</w:t>
      </w:r>
      <w:r>
        <w:t xml:space="preserve">　　香港　　檔名：</w:t>
      </w:r>
      <w:r>
        <w:t xml:space="preserve">WD20-037-0129 </w:t>
      </w:r>
    </w:p>
    <w:p w14:paraId="250B0A8C" w14:textId="77777777" w:rsidR="00EC5AC7" w:rsidRDefault="00EC5AC7">
      <w:pPr>
        <w:pStyle w:val="a3"/>
      </w:pPr>
      <w:r>
        <w:t xml:space="preserve">　　諸位同學，大家早上好！我們繼續來學習雪廬老人的《論語講記》，「公冶長篇」第二十五章。</w:t>
      </w:r>
      <w:r>
        <w:t xml:space="preserve"> </w:t>
      </w:r>
    </w:p>
    <w:p w14:paraId="33A06DEF" w14:textId="77777777" w:rsidR="00EC5AC7" w:rsidRDefault="00EC5AC7">
      <w:pPr>
        <w:pStyle w:val="a3"/>
      </w:pPr>
      <w:r>
        <w:t xml:space="preserve">　　【子曰。巧言令色足恭。左丘明恥之。丘亦恥之。匿怨而友其人。左丘明恥之。丘亦恥之。】</w:t>
      </w:r>
      <w:r>
        <w:t xml:space="preserve"> </w:t>
      </w:r>
    </w:p>
    <w:p w14:paraId="2CA631D5" w14:textId="77777777" w:rsidR="00EC5AC7" w:rsidRDefault="00EC5AC7">
      <w:pPr>
        <w:pStyle w:val="a3"/>
      </w:pPr>
      <w:r>
        <w:t xml:space="preserve">　　「宋儒有功，過失也不小。漢儒雖不懂性理，過失卻很小。」這章書一開頭雪廬老人就給我們舉出宋儒跟漢儒他們的功過。宋儒有功，有他的功勞，有他對的地方，但是過失也不小，過失也很多。漢儒雖然不懂性理，漢儒他沒有發揮《論語》的性理（宋儒有），過失卻很小。</w:t>
      </w:r>
      <w:r>
        <w:t xml:space="preserve"> </w:t>
      </w:r>
    </w:p>
    <w:p w14:paraId="7ED28135" w14:textId="77777777" w:rsidR="00EC5AC7" w:rsidRDefault="00EC5AC7">
      <w:pPr>
        <w:pStyle w:val="a3"/>
      </w:pPr>
      <w:r>
        <w:t xml:space="preserve">　　『子曰：巧言令色足恭』，「巧言、令色，一見人就笑。足恭，足是兩腳，恭是恭敬。這是唐以前的說法」。</w:t>
      </w:r>
      <w:r>
        <w:t xml:space="preserve"> </w:t>
      </w:r>
    </w:p>
    <w:p w14:paraId="6CB3BD5F" w14:textId="77777777" w:rsidR="00EC5AC7" w:rsidRDefault="00EC5AC7">
      <w:pPr>
        <w:pStyle w:val="a3"/>
      </w:pPr>
      <w:r>
        <w:t xml:space="preserve">　　「足恭，宋儒解釋作過為恭敬，其實三句是三件事，一口一色一足。巧言、令色、足恭，巧言是口，令色是身，足恭是腳，這是三種事，不是兩件事，宋儒不懂，不明白文法。」</w:t>
      </w:r>
      <w:r>
        <w:t xml:space="preserve"> </w:t>
      </w:r>
    </w:p>
    <w:p w14:paraId="4674CDBD" w14:textId="77777777" w:rsidR="00EC5AC7" w:rsidRDefault="00EC5AC7">
      <w:pPr>
        <w:pStyle w:val="a3"/>
      </w:pPr>
      <w:r>
        <w:t xml:space="preserve">　　「足如何恭？韓愈《進學解》說：口將言而嚅，足將近而後退。」嚅就是欲言又止，吞吞吐吐，講話吞吞吐吐。「從前給人當差的人，主人只要呼叫來」，呼叫這個當差的人來，「便一呼百諾，鞠躬如也」，當差的人就很恭敬，鞠躬如也。「口、言表情都是如此，隨說隨答是，隨往後退，那種恭敬真令人肉麻。」就是以前當差的人，他主人一叫，他就一呼百諾了，就鞠躬，口、言語、表情都是如此。隨說隨答，就都答是，講完之後就隨著往後退，那種恭敬真令人肉麻。「但是心中十之八九，都是想害主人」，他不是真心。「《閱微草堂筆記》中，當差害主人的十有七八，都不是真心。」表面很恭敬，這個態度，雪廬老人講這樣的態度很肉麻的。所以這一段就是講這個意思。</w:t>
      </w:r>
      <w:r>
        <w:t xml:space="preserve"> </w:t>
      </w:r>
    </w:p>
    <w:p w14:paraId="0A05989D" w14:textId="77777777" w:rsidR="00EC5AC7" w:rsidRDefault="00EC5AC7">
      <w:pPr>
        <w:pStyle w:val="a3"/>
      </w:pPr>
      <w:r>
        <w:t xml:space="preserve">　　『左丘明恥之，丘亦恥之。』恥之，這是看了覺得很不妥。左丘明、孔子都看到這樣的人不是真心的，那個態度又很肉麻。「這等事，不能欺騙讀書人。左丘明是孔子的弟子，作《左傳》，孔子作《春秋》時，左丘明在一旁，受到孔子的指點很多。孔子作《春秋》寓褒貶，別善惡。丘讀作某，從前子不道父母之名，生不道師之名，子不道父之名，吾如今看平劇，以平劇為師，京戲的《龍虎鬥》，就有說：子不道父名。」</w:t>
      </w:r>
      <w:r>
        <w:t xml:space="preserve"> </w:t>
      </w:r>
    </w:p>
    <w:p w14:paraId="13BC876B" w14:textId="77777777" w:rsidR="00EC5AC7" w:rsidRDefault="00EC5AC7">
      <w:pPr>
        <w:pStyle w:val="a3"/>
      </w:pPr>
      <w:r>
        <w:t xml:space="preserve">　　『匿怨而友其人，左丘明恥之，丘亦恥之。』「巧言令色足恭，這種人不直」，就是前面講的，這樣的人，像當差的人這樣，這樣的人不直，不是正直的人。「孔子是以直報怨，若外表裝作直，往往是大奸慝的人。」</w:t>
      </w:r>
      <w:r>
        <w:t xml:space="preserve"> </w:t>
      </w:r>
    </w:p>
    <w:p w14:paraId="42A3D92E" w14:textId="77777777" w:rsidR="00EC5AC7" w:rsidRDefault="00EC5AC7">
      <w:pPr>
        <w:pStyle w:val="a3"/>
      </w:pPr>
      <w:r>
        <w:t xml:space="preserve">　　「匿怨，與人有怨仇，臉上裝出好似真心要好。而友其人，尚且與他交朋友，這不是真心，必定是存著希望你對他有好處的心，這是錯的。」與這個人有怨仇，這個人臉上裝出好像真心的要好。而友其人，尚且與他交朋友，這個不是真心，必定他有</w:t>
      </w:r>
      <w:r>
        <w:lastRenderedPageBreak/>
        <w:t>他的目的的，這是不對的。「怨仇小還可解，怨仇大，如何可解？」小冤仇可以容易化解，大的不容易化解。「朋友要信之，若是匿怨而友其人，那是面友。」表面，不是真正的朋友，他心裡面必定有目的的。</w:t>
      </w:r>
      <w:r>
        <w:t xml:space="preserve"> </w:t>
      </w:r>
    </w:p>
    <w:p w14:paraId="22CF943A" w14:textId="77777777" w:rsidR="00EC5AC7" w:rsidRDefault="00EC5AC7">
      <w:pPr>
        <w:pStyle w:val="a3"/>
      </w:pPr>
      <w:r>
        <w:t xml:space="preserve">　　「左丘明恥之，丘亦恥之，都是要學直道。」左丘明、孔子對這個事情都不認同的，不贊成的。</w:t>
      </w:r>
      <w:r>
        <w:t xml:space="preserve"> </w:t>
      </w:r>
    </w:p>
    <w:p w14:paraId="107638BC" w14:textId="77777777" w:rsidR="00EC5AC7" w:rsidRDefault="00EC5AC7">
      <w:pPr>
        <w:pStyle w:val="a3"/>
      </w:pPr>
      <w:r>
        <w:t xml:space="preserve">　　「佛家看眾生作惡，知道他是在顛倒，佛家存大慈大悲的心，今天的仇家在昔日是父母兄弟，都與你有恩，也都是未來佛。《法句譬喻經》有說，夫妻殺雞餵兒，羅漢食後度化他。」這個是在《法句譬喻經》叫小乘經，《譬喻經》裡面講的，夫妻殺雞要餵他的兒子，這個都是有三世因果的。後來遇到羅漢去他家吃飯之後再度化他們。「這一點世間法辦不到」，就是世間人辦不到，只有出世間的聖人他們才辦得到。「但是有人道的辦法」，我們凡夫就要用人道的辦法，「要以直報怨」，我們做不到以德報怨，要以直報怨。「他有好處不嫉妒」，就是冤家對頭，他有好處不嫉妒他；「他遭災殃願意幫助他」，他有困難幫助他。「不願幫助也不可以幸災樂禍。」那覺得說他得到災禍了，我們很高興。「若幸災樂禍，下井投石，都是不直」，這個是不正直的。「要報怨」，如果他是冤家對頭，你要報怨，「應當在他好的時候，可以去報怨」，不能在他受災難的時候去報怨。「為什麼要下井投石？」他已經掉到井裡面，再把他丟個石頭，這個就不對的，這個就不直了。所以以直報怨他還是應該這樣的，這一點我們大家都要記在心裡，了解清楚。</w:t>
      </w:r>
      <w:r>
        <w:t xml:space="preserve"> </w:t>
      </w:r>
    </w:p>
    <w:p w14:paraId="226B3899" w14:textId="77777777" w:rsidR="00EC5AC7" w:rsidRDefault="00EC5AC7">
      <w:pPr>
        <w:pStyle w:val="a3"/>
      </w:pPr>
      <w:r>
        <w:t xml:space="preserve">　　「唐代的趙匡、陸德明考據，以為是孔子以前的人。」「朱竹垞」，朱竹垞先生，「《孔子弟子考》云：」他有一個考據的書，考據孔子的弟子這些資料，這個書有講，「自唐以前，諸儒之論，皆以丘明受業孔門」。唐朝以前，儒家的大儒他們的論述都是以左丘明，他是跟孔子學的，他受業是孔門。「故貞觀、永徽中祀周公為先聖，孔子為先師，是時孔庭配食止顏淵、左丘明二人，褒崇之禮若此。」這個是唐以前。「迨宋群儒，盡舍三傳說《春秋》久，而論世者惑於趙匡、陸德明之說，疑在孔子之前。惑於王安石之說，則疑左氏生孔子之後。」有人說左丘明是生在孔子之前，像王安石說是生在孔子之後，很多人被這些說法所疑惑了。趙匡、陸德明這個說法是在孔子之前，給大家都很疑惑，有人說在前，有人說在後。「眾口紛論」，大家講很多，有人這麼說，有人那麼說，「迄無定論；遂使唐代特祀之先賢，並不得與七十子之列」。在唐代那個時候，祭祀先賢就不能把他列在七十個弟子行列當中了，因為如果說生在前面，就不是孔子的弟子了。這有不同的說法。</w:t>
      </w:r>
      <w:r>
        <w:t xml:space="preserve"> </w:t>
      </w:r>
    </w:p>
    <w:p w14:paraId="0667172F" w14:textId="77777777" w:rsidR="00EC5AC7" w:rsidRDefault="00EC5AC7">
      <w:pPr>
        <w:pStyle w:val="a3"/>
      </w:pPr>
      <w:r>
        <w:t xml:space="preserve">　　「知道這點之後，左丘明就是孔子的弟子，有很多證據，別疑惑。」這個是雪廬老人給我們點出來，你看到這種注解、這種說法，有人說左丘明不是孔子的弟子，雪廬老人很肯定的給我們講，有很多證據證明左丘明就是孔子的弟子，我們不要疑惑了。「《左傳》也是左丘明作的。王安石是大膽的人，他以為聖言也不足信。」這個是講王安石他是很大膽的人，他連聖人講的話，他覺得也不足相信。</w:t>
      </w:r>
      <w:r>
        <w:t xml:space="preserve"> </w:t>
      </w:r>
    </w:p>
    <w:p w14:paraId="3BF11222" w14:textId="77777777" w:rsidR="00EC5AC7" w:rsidRDefault="00EC5AC7">
      <w:pPr>
        <w:pStyle w:val="a3"/>
      </w:pPr>
      <w:r>
        <w:t xml:space="preserve">　　好，這一章書我們就學習到這裡，祝大家福慧增長，法喜充滿。阿彌陀佛！　　</w:t>
      </w:r>
    </w:p>
    <w:sectPr w:rsidR="00EC5A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6279" w14:textId="77777777" w:rsidR="00EC5AC7" w:rsidRDefault="00EC5AC7" w:rsidP="00DD4D4D">
      <w:r>
        <w:separator/>
      </w:r>
    </w:p>
  </w:endnote>
  <w:endnote w:type="continuationSeparator" w:id="0">
    <w:p w14:paraId="54637841" w14:textId="77777777" w:rsidR="00EC5AC7" w:rsidRDefault="00EC5AC7" w:rsidP="00DD4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0BF6" w14:textId="77777777" w:rsidR="00EC5AC7" w:rsidRDefault="00EC5AC7" w:rsidP="00DD4D4D">
      <w:r>
        <w:separator/>
      </w:r>
    </w:p>
  </w:footnote>
  <w:footnote w:type="continuationSeparator" w:id="0">
    <w:p w14:paraId="2BEE2CA0" w14:textId="77777777" w:rsidR="00EC5AC7" w:rsidRDefault="00EC5AC7" w:rsidP="00DD4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D4D"/>
    <w:rsid w:val="007931EE"/>
    <w:rsid w:val="00DD4D4D"/>
    <w:rsid w:val="00E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C97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D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D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D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D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