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4F3" w14:textId="77777777" w:rsidR="00DC2AEA" w:rsidRDefault="00DC2AEA">
      <w:r>
        <w:t xml:space="preserve">每日論語　　悟道法師主講　　（第一三二集）　　</w:t>
      </w:r>
      <w:r>
        <w:t>2019/4/3</w:t>
      </w:r>
      <w:r>
        <w:t xml:space="preserve">　　香港　　檔名：</w:t>
      </w:r>
      <w:r>
        <w:t xml:space="preserve">WD20-037-0132 </w:t>
      </w:r>
    </w:p>
    <w:p w14:paraId="7096A3EA" w14:textId="77777777" w:rsidR="00DC2AEA" w:rsidRDefault="00DC2AEA">
      <w:pPr>
        <w:pStyle w:val="a3"/>
      </w:pPr>
      <w:r>
        <w:t xml:space="preserve">　　諸位同學，大家早上好！我們繼續來學習雪廬老人的《論語講記》，「公冶長篇」第二十八章。</w:t>
      </w:r>
      <w:r>
        <w:t xml:space="preserve"> </w:t>
      </w:r>
    </w:p>
    <w:p w14:paraId="5E1B2897" w14:textId="77777777" w:rsidR="00DC2AEA" w:rsidRDefault="00DC2AEA">
      <w:pPr>
        <w:pStyle w:val="a3"/>
      </w:pPr>
      <w:r>
        <w:t xml:space="preserve">　　【子曰。十室之邑。必有忠信如丘者焉。不如丘之好學也。】</w:t>
      </w:r>
      <w:r>
        <w:t xml:space="preserve"> </w:t>
      </w:r>
    </w:p>
    <w:p w14:paraId="52F107F0" w14:textId="77777777" w:rsidR="00DC2AEA" w:rsidRDefault="00DC2AEA">
      <w:pPr>
        <w:pStyle w:val="a3"/>
      </w:pPr>
      <w:r>
        <w:t xml:space="preserve">　　『子曰：十室之邑，必有忠信如丘者焉，不如丘之好學也。』「十室之邑有忠信者，忠信有像孔子，只差一條，沒有像孔子的好學。」這是講十室之邑有忠信的人，也就是說有很多人都具有忠信，忠信跟孔子一樣，他的本質、他的資質，忠信就像孔子。只差一條，有如同孔子的忠信，但是沒有像孔子的好學，孔子好學。「所以孔子唯獨讚歎顏子是好學的人」，他讚歎顏回好學，顏子是好學的人。「惟有孔子與顏子兩人好學」，就是喜歡學習。這個好學在我們佛法裡面講精進，就是他們兩人真正精進、好學，孔子讚歎好學。「不好學，即使天生資質美好也保存不住，好學很重要。」就是如果不好學，即使他的天生資質美好他也保存不住，不好學就容易退轉、墮落了，所以好學很重要。「一日聞得一句，就學一句，減除一日的毛病」，這句話非常重要。我們一天聽一句，聽一句經就學這一句，去把它做到，我們就減除一日的毛病，這個就是學習。一天減一個毛病，累積下來也非常可觀。就如同我們現在每一天大家學一章《論語》，如果今天能夠把這一章書去落實，我們就又減除一日的毛病了。</w:t>
      </w:r>
      <w:r>
        <w:t xml:space="preserve"> </w:t>
      </w:r>
    </w:p>
    <w:p w14:paraId="03CA6F49" w14:textId="77777777" w:rsidR="00DC2AEA" w:rsidRDefault="00DC2AEA">
      <w:pPr>
        <w:pStyle w:val="a3"/>
      </w:pPr>
      <w:r>
        <w:t xml:space="preserve">　　「一部《論語》全在主忠信、好學上」，這是雪廬老人給我們講，一部《論語》它主要的重點都是講忠信（忠跟信）、講好學這上面，這是一部《論語》它的主要重點。「你們若以為自己已經行了，就是人格退步，學佛也不會成功。」這個提醒非常重要。往往我們自己學了一個階段，以為自己已經都行了、已經很好了，這個就是人格退步，這樣來學佛也不會成功。這個我們要好好記住。「好學就漸漸去除毛病」，如果一個人很好學，學習聖賢經教，去落實，就是漸漸去除我們的毛病，也就是改過，天天改過。天天改過就會進步，所謂改進改進，要改進就要好學，不好學、不學習就沒有辦法改進。「老而好學，猶如秉燭夜遊。」我們年紀大了，年紀大了而且能夠好學，就好像我們在黑夜裡面走路拿一個蠟燭，現在用手電筒。秉燭夜遊，就是說老人就好像到了黑夜，這個時候如果好學就猶如手上有一支蠟燭，能夠看得見前面的道路。這也是鼓勵我們，年紀雖然大了，還是要好學。這也是《論語》一開頭「學而篇」第一篇第一章書，就是講「學而時習之，不亦說乎？」所以我們人從出生到老死，每一天都必須學習，活到老，學到老；活到死，學到死，這才是好學的一個態度。</w:t>
      </w:r>
      <w:r>
        <w:t xml:space="preserve"> </w:t>
      </w:r>
    </w:p>
    <w:p w14:paraId="081C08FB" w14:textId="77777777" w:rsidR="00DC2AEA" w:rsidRDefault="00DC2AEA">
      <w:pPr>
        <w:pStyle w:val="a3"/>
      </w:pPr>
      <w:r>
        <w:t xml:space="preserve">　　「《集釋》中，將漢注以後的注解蒐集在一起，但是其中誰說得對，這就必須自己的學問到了，才能分辨清楚。有一點必須知道，注解必定要選擇五四以前的古注，民國五四以後的講法絕不可採。為什麼？因為古今為學有差異，今人多是為貪名圖利而出書。」這一段也非常重要。雪廬老人給我們指點，我們看《論語》的注解要知道怎麼選擇，就是在民國五四運動以前的注解可以看。要選擇五四以前的古注，五四運動以前稱為古注，古代的注解。民國五四運動以後注解《論語》的講法絕不可採，這句也是很肯定的，決定不可以採取。為什麼？因為古時候跟今人為學，做學問態度上有差異、有不同。今人就是現代人，大多就是為了貪名圖利而出書的。注解書為了什</w:t>
      </w:r>
      <w:r>
        <w:lastRenderedPageBreak/>
        <w:t>麼？賣書出名，希望得到名利，這樣的心來注解肯定是很多錯誤。所以雪廬老人給我們講，五四運動以後的講法絕對不可以採取。所以現在人注解《論語》的很多，甚至有的注解得很離譜的都大有人在，這一點我們要知道。這也就是雪廬老人也知道我們現代人沒有這個學問，自己沒有能力去分辨清楚是正確的還是錯誤的。必須自己的學問到了，有那個眼光、有那個眼力了，才能分辨清楚他這個注解對不對。但是我們現前沒這個能力，我們就依雪廬老人這個《論語講記》來學習，這樣就不會有差錯了。</w:t>
      </w:r>
      <w:r>
        <w:t xml:space="preserve"> </w:t>
      </w:r>
    </w:p>
    <w:p w14:paraId="36914745" w14:textId="77777777" w:rsidR="00DC2AEA" w:rsidRDefault="00DC2AEA">
      <w:pPr>
        <w:pStyle w:val="a3"/>
      </w:pPr>
      <w:r>
        <w:t xml:space="preserve">　　好，「公冶長篇」到第二十八章就圓滿了，這一篇就圓滿了。下面一篇就是「雍也第六」，我們明天繼續來學習「雍也第六」，「公冶長篇」到這裡圓滿。祝大家福慧增長，法喜充滿。阿彌陀佛！　　</w:t>
      </w:r>
    </w:p>
    <w:sectPr w:rsidR="00DC2A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771B" w14:textId="77777777" w:rsidR="00DC2AEA" w:rsidRDefault="00DC2AEA" w:rsidP="00A00800">
      <w:r>
        <w:separator/>
      </w:r>
    </w:p>
  </w:endnote>
  <w:endnote w:type="continuationSeparator" w:id="0">
    <w:p w14:paraId="151AF5C9" w14:textId="77777777" w:rsidR="00DC2AEA" w:rsidRDefault="00DC2AEA" w:rsidP="00A00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1B86" w14:textId="77777777" w:rsidR="00DC2AEA" w:rsidRDefault="00DC2AEA" w:rsidP="00A00800">
      <w:r>
        <w:separator/>
      </w:r>
    </w:p>
  </w:footnote>
  <w:footnote w:type="continuationSeparator" w:id="0">
    <w:p w14:paraId="6A943728" w14:textId="77777777" w:rsidR="00DC2AEA" w:rsidRDefault="00DC2AEA" w:rsidP="00A00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00"/>
    <w:rsid w:val="007931EE"/>
    <w:rsid w:val="00A00800"/>
    <w:rsid w:val="00D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0B2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