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11573" w14:textId="77777777" w:rsidR="00044F4A" w:rsidRDefault="00044F4A">
      <w:r>
        <w:t xml:space="preserve">每日論語　　悟道法師主講　　（第一三四集）　　</w:t>
      </w:r>
      <w:r>
        <w:t>2019/4/5</w:t>
      </w:r>
      <w:r>
        <w:t xml:space="preserve">　　香港　　檔名：</w:t>
      </w:r>
      <w:r>
        <w:t xml:space="preserve">WD20-037-0134 </w:t>
      </w:r>
    </w:p>
    <w:p w14:paraId="1C00CE72" w14:textId="77777777" w:rsidR="00044F4A" w:rsidRDefault="00044F4A">
      <w:pPr>
        <w:pStyle w:val="a3"/>
      </w:pPr>
      <w:r>
        <w:t xml:space="preserve">　　諸位同學，大家早上好！我們繼續來學習雪廬老人的《論語講記》，「雍也篇」第二章。</w:t>
      </w:r>
      <w:r>
        <w:t xml:space="preserve"> </w:t>
      </w:r>
    </w:p>
    <w:p w14:paraId="65FCB405" w14:textId="77777777" w:rsidR="00044F4A" w:rsidRDefault="00044F4A">
      <w:pPr>
        <w:pStyle w:val="a3"/>
      </w:pPr>
      <w:r>
        <w:t xml:space="preserve">　　【哀公問弟子孰為好學。孔子對曰。有顏回者好學。不遷怒。不貳過。不幸短命死矣。今也則亡。未聞好學者也。】</w:t>
      </w:r>
      <w:r>
        <w:t xml:space="preserve"> </w:t>
      </w:r>
    </w:p>
    <w:p w14:paraId="2A92FE08" w14:textId="77777777" w:rsidR="00044F4A" w:rsidRDefault="00044F4A">
      <w:pPr>
        <w:pStyle w:val="a3"/>
      </w:pPr>
      <w:r>
        <w:t xml:space="preserve">　　『哀公問弟子孰為好學？孔子對曰：有顏回者好學。』「哀公問，你的弟子誰為好學？」這是哀公問孔子，你的弟子哪一個人是最好學的？「孔子答以顏回」，孔子回答顏回最好學。他為什麼好學？「不遷怒，不貳過。」顏回不遷怒，不貳過。不遷怒就是我們佛法講不發脾氣，不貳過就是過失只有一次，沒有第二次，他知道了必定改過。孔子為何如此回答？「為何如此答，與好學有何關係？」就是這個不遷怒、不貳過跟好學有什麼關係？</w:t>
      </w:r>
      <w:r>
        <w:t xml:space="preserve"> </w:t>
      </w:r>
    </w:p>
    <w:p w14:paraId="6428470E" w14:textId="77777777" w:rsidR="00044F4A" w:rsidRDefault="00044F4A">
      <w:pPr>
        <w:pStyle w:val="a3"/>
      </w:pPr>
      <w:r>
        <w:t xml:space="preserve">　　下面這裡引用《考異》跟《群經平議》來考證。「今也則亡」，在《考異》這個書裡面，「《考異》云亡宜無此字。」在《考異》考證，我們現在講校對，這章書「今也則亡」應該沒有亡這個字，「宜無此字」就是應該沒有亡這個字。「《群經平議》云，亡字衍文也。」在《群經平議》這個書裡面也有講，亡這個字是衍文。衍文就是古書裡面輾轉抄寫訛誤，多餘的字句，就是抄錯了多出來的字。這一句如果沒有亡這個字，就是「今也則未聞好學者也。」《考異》跟《群經平議》給我們註明應該沒有亡這個字，就是多出來的字。</w:t>
      </w:r>
      <w:r>
        <w:t xml:space="preserve"> </w:t>
      </w:r>
    </w:p>
    <w:p w14:paraId="783ACF3B" w14:textId="77777777" w:rsidR="00044F4A" w:rsidRDefault="00044F4A">
      <w:pPr>
        <w:pStyle w:val="a3"/>
      </w:pPr>
      <w:r>
        <w:t xml:space="preserve">　　這裡要跟同修匯報，這個校對就很不容易。這個地方既然是多出來，為什麼不刪掉？或者看到錯字為什麼古書不改，還保留原來的？這一點我們華藏這些年校對《大藏經》都有經驗。過去我們淨老和尚常講，雪廬老人的做法跟古人一樣，古書有錯字他沒有直接去改，就在旁邊註解、註明這個字應該是哪個字；或者像這裡講，這個字應該沒有，他註明。但是古書就這樣流傳下來沒有去動它，既然知道錯為什麼不改，要保留，旁邊作註明呢？這個問題我們要知道。根據我們校對《大藏經》的經驗，如果改了，有的地方是改對了，如果開了這個例子，看到不對的就改，或者看到多的這句不要就刪，那有的地方是刪對、改對了，有些地方原來是對的他改錯了、刪錯了，這個事情都發生過。所以過去聽我們老和尚講，我們還沒有體會，後來我們華藏接到印《龍藏》、校對的任務，就發現這個問題了。所以這個態度要謹慎。古書，不是我們現在重新打字的版，古書都是保留它原來的。如果明顯錯字或者是多餘的字，我們在旁邊給它做註解這樣就可以，不要去改動。因為改動，開了這個例子大家都去改，有的改對、有的改錯，改到最後就面目全非了。這個原則我們同修大家都一定要知道，古書就是保留它原來的。現在打字的版，再去校對去改；古書盡量給</w:t>
      </w:r>
      <w:r>
        <w:t>它保留，錯也給它保留下來，明顯的錯我們在旁邊註明就可以。</w:t>
      </w:r>
      <w:r>
        <w:t xml:space="preserve"> </w:t>
      </w:r>
    </w:p>
    <w:p w14:paraId="032D00E6" w14:textId="77777777" w:rsidR="00044F4A" w:rsidRDefault="00044F4A">
      <w:pPr>
        <w:pStyle w:val="a3"/>
      </w:pPr>
      <w:r>
        <w:t xml:space="preserve">　　下面雪廬老人講，「顏淵死的歲數，說法不一」，顏回死的時候是幾歲，這個說法有不一樣的。「從考證知道享年四十有一。」這個是經過考證的，考證的就是知道他享年四十一歲。四十一歲這個壽命不算長，所以說短命。</w:t>
      </w:r>
      <w:r>
        <w:t xml:space="preserve"> </w:t>
      </w:r>
    </w:p>
    <w:p w14:paraId="708831C5" w14:textId="77777777" w:rsidR="00044F4A" w:rsidRDefault="00044F4A">
      <w:pPr>
        <w:pStyle w:val="a3"/>
      </w:pPr>
      <w:r>
        <w:lastRenderedPageBreak/>
        <w:t xml:space="preserve">　　『不遷怒，不貳過，不幸短命死矣。今也則亡，未聞好學者也。』「哀公問好學，孔子答以好學的結果。」「有說」，就是有一種說法，「哀公喜遷、貳過」，就是魯哀公他喜歡遷怒，有些事情他會去怪別人、發脾氣，貳過就是過不改，「所以借此勸諫」，所以孔子借這個來勸他。這種說法雪廬老人說，「這是我假理想的說法」，這個是自己想的，這個說法是我假理想，自己想的。事實上不是這樣，不是這個意思，不是借這個顏回的事情來勸魯哀公，不是，這是我假理想的說法。「其實好學而有結果，首先是不發脾氣，儒家懲忿窒欲，佛家講瞋是根本煩惱，一念瞋心起，火燒功德林，修道絕不成功。」雪廬老人給我們解釋，其實好學，喜歡學習，學聖賢之道、學習經教，好學有它的結果。好學而有結果，這個結果是什麼？也就是你學了有什麼效果？首先是不發脾氣。儒學講懲忿窒欲，忿就是忿怒，不發脾氣。佛家也講瞋是根本煩惱，貪瞋痴。一念瞋心起，火燒功德林，脾氣一發，我們平常修的功德就被燒光了，修道決定不能成功。好學它的結果就是不發脾氣，過失只有一次，不會有第二次，這是顏回他好學的結果。「遷怒，有說是對張三怒，不遷怒於李四，這一說法太淺。」這個遷怒有一种說法，就是說對張三怒，好像張三對不起他就遷怒</w:t>
      </w:r>
      <w:r>
        <w:t>李四，雪廬老人講這一種說法太膚淺了，太淺了。不遷怒、不貳過，應該就是他沒有瞋恨心了，我們佛法講沒有瞋恨心；他改過，沒有第二次的過失，這是他好學的結果。但是不幸短命，死了。今也則未聞好學者也，現在也沒有再聽到有好學像顏回這樣的人。</w:t>
      </w:r>
      <w:r>
        <w:t xml:space="preserve"> </w:t>
      </w:r>
    </w:p>
    <w:p w14:paraId="33EA57F1" w14:textId="77777777" w:rsidR="00044F4A" w:rsidRDefault="00044F4A">
      <w:pPr>
        <w:pStyle w:val="a3"/>
      </w:pPr>
      <w:r>
        <w:t xml:space="preserve">　　這一章書我們就學習到這裡。祝大家福慧增長，法喜充滿。阿彌陀佛！　　</w:t>
      </w:r>
    </w:p>
    <w:sectPr w:rsidR="00044F4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A610D" w14:textId="77777777" w:rsidR="00044F4A" w:rsidRDefault="00044F4A" w:rsidP="000222D4">
      <w:r>
        <w:separator/>
      </w:r>
    </w:p>
  </w:endnote>
  <w:endnote w:type="continuationSeparator" w:id="0">
    <w:p w14:paraId="66BEE40E" w14:textId="77777777" w:rsidR="00044F4A" w:rsidRDefault="00044F4A" w:rsidP="00022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C234C" w14:textId="77777777" w:rsidR="00044F4A" w:rsidRDefault="00044F4A" w:rsidP="000222D4">
      <w:r>
        <w:separator/>
      </w:r>
    </w:p>
  </w:footnote>
  <w:footnote w:type="continuationSeparator" w:id="0">
    <w:p w14:paraId="33C0BFE1" w14:textId="77777777" w:rsidR="00044F4A" w:rsidRDefault="00044F4A" w:rsidP="000222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2D4"/>
    <w:rsid w:val="000222D4"/>
    <w:rsid w:val="00044F4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4905D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22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22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22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22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283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2026-08-13T00:16:00Z</dcterms:created>
  <dcterms:modified xsi:type="dcterms:W3CDTF">2026-08-13T00:16:00Z</dcterms:modified>
</cp:coreProperties>
</file>