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798FC" w14:textId="77777777" w:rsidR="009960E2" w:rsidRDefault="009960E2">
      <w:r>
        <w:t xml:space="preserve">每日論語　　悟道法師主講　　（第一三七集）　　</w:t>
      </w:r>
      <w:r>
        <w:t>2019/4/8</w:t>
      </w:r>
      <w:r>
        <w:t xml:space="preserve">　　餘姚　　檔名：</w:t>
      </w:r>
      <w:r>
        <w:t xml:space="preserve">WD20-037-0137 </w:t>
      </w:r>
    </w:p>
    <w:p w14:paraId="46A4F561" w14:textId="77777777" w:rsidR="009960E2" w:rsidRDefault="009960E2">
      <w:pPr>
        <w:pStyle w:val="a3"/>
      </w:pPr>
      <w:r>
        <w:t xml:space="preserve">　　諸位同學，大家早上好！我們繼續來學習雪廬老人的《論語講記》，「雍也篇」第五章。</w:t>
      </w:r>
      <w:r>
        <w:t xml:space="preserve"> </w:t>
      </w:r>
    </w:p>
    <w:p w14:paraId="4166716A" w14:textId="77777777" w:rsidR="009960E2" w:rsidRDefault="009960E2">
      <w:pPr>
        <w:pStyle w:val="a3"/>
      </w:pPr>
      <w:r>
        <w:t xml:space="preserve">　　【子謂仲弓曰。犁牛之子。騂且角。雖欲勿用。山川其舍諸。】</w:t>
      </w:r>
      <w:r>
        <w:t xml:space="preserve"> </w:t>
      </w:r>
    </w:p>
    <w:p w14:paraId="1219CDEC" w14:textId="77777777" w:rsidR="009960E2" w:rsidRDefault="009960E2">
      <w:pPr>
        <w:pStyle w:val="a3"/>
      </w:pPr>
      <w:r>
        <w:t xml:space="preserve">　　「你們現今都有職務，時間很寶貴，每週三的佛學，你們能聽就已經不容易，聽《論語》也是如此，《論語》幫助佛學很大。聽《論語》必須略知門路，因為時間短不能入到裡頭，幸好選了這本《集釋》的注解，這本注解比較完全。有人學一生還不懂文化的重心，若不是這本書，都有所偏。依著集注、集解學，一輩子學不出來。這兩種注解已經夠麻煩了，看了《集釋》就有分別的能力，如今你們還沒有分辨的能力。」以上這一段雪廬老人跟大家講，有《論語》這本集釋，蒐集歷朝歷代的這些注解，這個比較完全。學東西當然都需要時間，時間太短了不能深入。有人學了一輩子還不懂中國文化的重心，如果不是《集釋》這本書，看其他的集注、集解，學一輩子也學不出來。這是給我們指點出這個注解依《集釋》比較完整。</w:t>
      </w:r>
      <w:r>
        <w:t xml:space="preserve"> </w:t>
      </w:r>
    </w:p>
    <w:p w14:paraId="02FD851E" w14:textId="77777777" w:rsidR="009960E2" w:rsidRDefault="009960E2">
      <w:pPr>
        <w:pStyle w:val="a3"/>
      </w:pPr>
      <w:r>
        <w:t xml:space="preserve">　　「吾講《論語》全為你們學佛，你們不必再分心學其他」，專攻《論語》就是幫助我們學佛。「例如《易經》等等，吾講《易經》艮卦，自有用意，聽了艮卦，便知道孔子的性與天道。你們若全心學，四十年才能略窺門徑而已。」這是說講學《易經》，如果全心全力去學，四十年才能大略看到門徑，可見得這個也不容易。「其餘的注解如《反身錄》、《松陽講義》等都是依宋儒的說法，也是程朱派，很少提到佛老，你們也不必去買，你們能夠學明白這本《集釋》就已經不錯了。」這裡再強調學《集釋》，其他依宋儒的，程子、朱子這一派的注解，雪廬老人勸大家不用去買，看這本《集釋》就夠了。</w:t>
      </w:r>
      <w:r>
        <w:t xml:space="preserve"> </w:t>
      </w:r>
    </w:p>
    <w:p w14:paraId="52E89415" w14:textId="77777777" w:rsidR="009960E2" w:rsidRDefault="009960E2">
      <w:pPr>
        <w:pStyle w:val="a3"/>
      </w:pPr>
      <w:r>
        <w:t xml:space="preserve">　　「《論語》每一章都是簡要詳明，十句以上的很少，所以多一字少一字就會變質，聖人才能如此，你們必須字字致意」，每一個字都要用心致意去看、去領會。「中國文化大概不出這本《論語集釋》的範圍，有這個機會學，千萬別錯過。」《論語集釋》這個書蒐集歷朝歷代的注解，中國文化大概就不出這本《論語集釋》的範圍。雪廬老人給我們講，有這個機會來學，我們千萬不要錯過了。</w:t>
      </w:r>
      <w:r>
        <w:t xml:space="preserve"> </w:t>
      </w:r>
    </w:p>
    <w:p w14:paraId="3F85CEB6" w14:textId="77777777" w:rsidR="009960E2" w:rsidRDefault="009960E2">
      <w:pPr>
        <w:pStyle w:val="a3"/>
      </w:pPr>
      <w:r>
        <w:t xml:space="preserve">　　「這章書的考證你們必須知道，先講正的，再講偏的，若先偏後正就沒味道」，先講正確的，再講不正確的，如果先講不正確，後面再講正確就沒有味道。「黃氏《後案》的後儒，指唐以後的儒者：據《漢書．食貨志》，以牛耕地始於趙過。趙氏以前，牛不是用來耕地。考《志》言民或苦少牛，平都令光教過以人挽犁。以人挽犁，法始於趙過為代田之時，非牛耕始於此也。」這是講到以牛耕地從趙過那個時候開始。</w:t>
      </w:r>
      <w:r>
        <w:t xml:space="preserve"> </w:t>
      </w:r>
    </w:p>
    <w:p w14:paraId="0B57E7E0" w14:textId="77777777" w:rsidR="009960E2" w:rsidRDefault="009960E2">
      <w:pPr>
        <w:pStyle w:val="a3"/>
      </w:pPr>
      <w:r>
        <w:t xml:space="preserve">　　「《山海經．海內經》曰：后稷（舜的名臣，周朝為他的後代）之孫曰叔均，始作牛耕。郭傳：始用牛犁也。」《山海經》裡面講的，用牛犁是后稷他的孫子叔均才開始作牛耕。</w:t>
      </w:r>
      <w:r>
        <w:t xml:space="preserve"> </w:t>
      </w:r>
    </w:p>
    <w:p w14:paraId="466721FD" w14:textId="77777777" w:rsidR="009960E2" w:rsidRDefault="009960E2">
      <w:pPr>
        <w:pStyle w:val="a3"/>
      </w:pPr>
      <w:r>
        <w:lastRenderedPageBreak/>
        <w:t xml:space="preserve">　　「牛不耕地做什麼用？中行范氏子孫將耕於齊，這才是做為耕牛、犁牛」，牛幫人家耕田。「另外還有一種是專供宗廟的牛，為犧牲，與耕地的牛不同。上供的牛必須有一定的顏色、樣子，顏色乾淨帶赤色叫騂，而且角生得正當，可以供三祀：初祭天南郊，二祭宗廟，三望祀四方山川。專門養來祭天地、宗廟、山川，這種牛叫做騂且角，角帶赤色。選好的牛專門養，祭祀時殺來上供，不作別的用途。」</w:t>
      </w:r>
      <w:r>
        <w:t xml:space="preserve"> </w:t>
      </w:r>
    </w:p>
    <w:p w14:paraId="7D8FC7CA" w14:textId="77777777" w:rsidR="009960E2" w:rsidRDefault="009960E2">
      <w:pPr>
        <w:pStyle w:val="a3"/>
      </w:pPr>
      <w:r>
        <w:t xml:space="preserve">　　『子謂仲弓曰：犁牛之子，騂且角』，「仲弓是冉雍的字，本篇第一章說雍也可使南面，仲弓為冉雍之字」，他的字號，「他的父親是何許人不知道，考證不出來，有人說是冉伯牛的兒子」。「《史記》稱仲弓父為賤人，並未說出不好的原因」，只是他低賤，不是不好。</w:t>
      </w:r>
      <w:r>
        <w:t xml:space="preserve"> </w:t>
      </w:r>
    </w:p>
    <w:p w14:paraId="0FF08B45" w14:textId="77777777" w:rsidR="009960E2" w:rsidRDefault="009960E2">
      <w:pPr>
        <w:pStyle w:val="a3"/>
      </w:pPr>
      <w:r>
        <w:t xml:space="preserve">　　「《雜文》之訓始於揚雄，高誘解淮南。揚雄幫助王莽，王莽滅亡而從閣樓墜死，這是白讀書了，揚雄為什麼要保篡位的王莽？為什麼要跟他交為朋友？」這裡不知道什麼原因。「從揚雄開始訓犁牛是雜色牛，不是耕牛的意義。騂是紅色，是雜色毛的牛。從高誘、王肅到民國都是用這種說法，以犁牛為雜毛牛。」</w:t>
      </w:r>
      <w:r>
        <w:t xml:space="preserve"> </w:t>
      </w:r>
    </w:p>
    <w:p w14:paraId="1A1B8559" w14:textId="77777777" w:rsidR="009960E2" w:rsidRDefault="009960E2">
      <w:pPr>
        <w:pStyle w:val="a3"/>
      </w:pPr>
      <w:r>
        <w:t xml:space="preserve">　　「《孔子家語》說仲弓是伯牛的族人，並未說是他的兒子，而是他父親所幹的行業低賤，也沒有說出緣故。一般人都誤以為是冉伯牛的兒子，以為得惡疾就是賤人，這不可我假理想，痲瘋病人難道都是賤人？」這個自己猜想的，雪廬老人講不可以我假理想，自己猜想，都誤會以為是冉伯牛的兒子，得病並不就是賤人，不是這樣的，不能這樣講。雪廬老人給我們說明。</w:t>
      </w:r>
      <w:r>
        <w:t xml:space="preserve"> </w:t>
      </w:r>
    </w:p>
    <w:p w14:paraId="2CD77269" w14:textId="77777777" w:rsidR="009960E2" w:rsidRDefault="009960E2">
      <w:pPr>
        <w:pStyle w:val="a3"/>
      </w:pPr>
      <w:r>
        <w:t xml:space="preserve">　　「讀書之難，於此可見，《史記》高誘都是有名的人，尚且如是，在此可知一斑。」所以讀古書有它的難處，從這裡我們可以看見，古書還是有很多解釋是不對的、錯誤的。在《史記》上，高誘都是有名的人，他尚且是這樣的看法，錯誤的看法，在這裡就可以知道，一般人錯誤的注解那就更多了。</w:t>
      </w:r>
      <w:r>
        <w:t xml:space="preserve"> </w:t>
      </w:r>
    </w:p>
    <w:p w14:paraId="604D0022" w14:textId="77777777" w:rsidR="009960E2" w:rsidRDefault="009960E2">
      <w:pPr>
        <w:pStyle w:val="a3"/>
      </w:pPr>
      <w:r>
        <w:t xml:space="preserve">　　「仲弓為冉伯牛的族人，出自《家語》，並不是說冉伯牛是他的父親，沒有證據而說，不可為憑，這是一點。」這個我們沒有證據不可以用自己的猜想來講，這一點非常重要。「犁牛就是指耕地的牛，唐以前解釋為雜色毛的牛，這是揚雄的說法，這是第二點。依《家語》，冉伯牛不是仲弓的父親。我們根據《家語》，或許有人以為《家語》也靠不住，但是也可以只說仲弓，不必考據他的父親是誰。」</w:t>
      </w:r>
      <w:r>
        <w:t xml:space="preserve"> </w:t>
      </w:r>
    </w:p>
    <w:p w14:paraId="050AF7F7" w14:textId="77777777" w:rsidR="009960E2" w:rsidRDefault="009960E2">
      <w:pPr>
        <w:pStyle w:val="a3"/>
      </w:pPr>
      <w:r>
        <w:t xml:space="preserve">　　『雖欲勿用，山川其舍諸？』「後儒解釋說，孔子對仲弓說，犁牛之子騂且角，孔子的比方是讚美仲弓，如何讚美法？你雖然好，可惜你的父親不好，你像是紅色的牛，而你父親卻如雜毛牛，所以不好。雜毛牛生下紅色的好牛，專作犧牲的牛，你可以供天、供太廟。就是天地、太廟不採取（祭孔的牛死後可以投生為秀才），山川其舍諸？可是這第三層的山川也得有你，你還是有用處。以上的說法都是胡說八道。」這一段雪廬老人給我們舉出來這是不正確的說法，後儒（後代的大儒）解釋這一段是不對的，是亂講，胡說八道，孔子怎麼會這麼講話？</w:t>
      </w:r>
      <w:r>
        <w:t xml:space="preserve"> </w:t>
      </w:r>
    </w:p>
    <w:p w14:paraId="10D76985" w14:textId="77777777" w:rsidR="009960E2" w:rsidRDefault="009960E2">
      <w:pPr>
        <w:pStyle w:val="a3"/>
      </w:pPr>
      <w:r>
        <w:t xml:space="preserve">　　「假設冉伯牛為仲弓的父親，伯牛長惡疾，也不是賤人，誰不長病？比喻為雜毛牛一樣不對。」這裡就是舉出假設，有人說仲弓的父親是冉伯牛，冉伯牛他長了惡疾，長了痲瘋病。長惡疾、長惡病也不是賤人，誰不長病？人哪有不生病的？把生病認為是賤人，比喻雜毛牛一樣，這是不對的。</w:t>
      </w:r>
      <w:r>
        <w:t xml:space="preserve"> </w:t>
      </w:r>
    </w:p>
    <w:p w14:paraId="32F7BBEE" w14:textId="77777777" w:rsidR="009960E2" w:rsidRDefault="009960E2">
      <w:pPr>
        <w:pStyle w:val="a3"/>
      </w:pPr>
      <w:r>
        <w:lastRenderedPageBreak/>
        <w:t xml:space="preserve">　　「子謂仲弓曰，孔子對著仲弓罵他的父親。孔子是懂禮的人，有這個道理嗎？」孔子他怎麼會對著仲弓罵他的父親？若照後儒這種解釋，好像孔子都不懂禮了。所以這種注解、說法都是錯誤的。「普通人稱人的父母為令尊、令堂，何況是聖人孔子？而且孔門四科顏淵、閔子騫、仲弓、冉伯牛，都是德性科中的賢者，如何可以說是賤人？難道顏淵、閔子騫有德性的都是賤人？」</w:t>
      </w:r>
      <w:r>
        <w:t xml:space="preserve"> </w:t>
      </w:r>
    </w:p>
    <w:p w14:paraId="64F15E2B" w14:textId="77777777" w:rsidR="009960E2" w:rsidRDefault="009960E2">
      <w:pPr>
        <w:pStyle w:val="a3"/>
      </w:pPr>
      <w:r>
        <w:t xml:space="preserve">　　「犁牛其實不當雜毛牛說，從前耕地的牛，不做犧牛，犧牛有一定的形式，才夠得上」，耕地的牛不能做犧牲的牛。</w:t>
      </w:r>
      <w:r>
        <w:t xml:space="preserve"> </w:t>
      </w:r>
    </w:p>
    <w:p w14:paraId="1AB6871E" w14:textId="77777777" w:rsidR="009960E2" w:rsidRDefault="009960E2">
      <w:pPr>
        <w:pStyle w:val="a3"/>
      </w:pPr>
      <w:r>
        <w:t xml:space="preserve">　　「這一章是孔子與仲弓談話，不是以犁牛比喻冉伯牛，騂且角比喻仲弓」，不是這樣。「有人說仲弓當時為季氏宰」，在季氏家當總管。「雍也可使南面，從政都說是南面。當領導者必須廣求人才，這一點必須用心致意。孔子無常師，有一技之長就以他為師，《三字經》云：昔仲尼，師項橐。項橐是兒童，孔子也向他學習，孔子三人行必有我師焉，必也擇其善者而從之，其不善者而改之。好的是師，不好的也是師。」</w:t>
      </w:r>
      <w:r>
        <w:t xml:space="preserve"> </w:t>
      </w:r>
    </w:p>
    <w:p w14:paraId="676A4829" w14:textId="77777777" w:rsidR="009960E2" w:rsidRDefault="009960E2">
      <w:pPr>
        <w:pStyle w:val="a3"/>
      </w:pPr>
      <w:r>
        <w:t xml:space="preserve">　　「你們必須虛心，不論當哪種頭頭，必須會用人，能用一人，就能用十人、百人，一人用不了，如何能用十人、百人？有些人是他自己有能力，別人替代就不如他。桀紂都能，卻無用，有用的人是垂拱而治。」「從前縣宰稱為知縣，府叫知府，知一縣、知一府的事情」，知道一個縣、知道一個府這裡面的事情，「才能辦政治」。「雖然不須事必躬親、運籌帷幄，但是精神必須全都籠罩，這是智慧問題。」雖然不是每件事情都自己去做，整個精神還是要籠罩在這一個縣、一個府上面，這個都是屬於智慧的問題。「用人必須選賢，不能因他的父親不好，而不用他的兒子。」這裡意思就是說，仲弓他的父親做的行業很低賤，但是他的兒子有才能、有德能，也不能因為他父親做的行業低賤就不用他了。所以用人必須選賢與能。「舜的父親瞽叟，不幹好事，目連尊者的母親墮入餓鬼道，但是不妨礙舜的大賢、目連尊者的神通第一，所以必須立賢無方」。這個是舉出舜的父親，大舜他是個大孝子，他的父親在歷史上記載，不幹好事，曾經還要把舜給害死；目連尊者的母親墮入餓鬼道。但是他的父母不好，不妨礙舜的大賢，也沒有妨礙目犍連尊者的神通第一、證阿羅漢果，所以必須立賢無方。只要他賢能，也不能因為他的父母有一些地方不好，或者行業低</w:t>
      </w:r>
      <w:r>
        <w:t>賤就不用他，就不可以這樣。應該只要他是賢能，都要去重用，這個非常重要。</w:t>
      </w:r>
      <w:r>
        <w:t xml:space="preserve"> </w:t>
      </w:r>
    </w:p>
    <w:p w14:paraId="735F4AEC" w14:textId="77777777" w:rsidR="009960E2" w:rsidRDefault="009960E2">
      <w:pPr>
        <w:pStyle w:val="a3"/>
      </w:pPr>
      <w:r>
        <w:t xml:space="preserve">　　「參考《集釋》（別解）的《論語稽》，可以知道更詳細。」雪廬老人再講，可以參考《集釋》別解的《論語稽》，可以知道更詳細。這一段的意思，《集釋》注解比較豐富，雪廬老人勸我們去看。</w:t>
      </w:r>
      <w:r>
        <w:t xml:space="preserve"> </w:t>
      </w:r>
    </w:p>
    <w:p w14:paraId="29CA2D82" w14:textId="77777777" w:rsidR="009960E2" w:rsidRDefault="009960E2">
      <w:pPr>
        <w:pStyle w:val="a3"/>
      </w:pPr>
      <w:r>
        <w:t xml:space="preserve">　　好，這一章書我們就學習到這裡。祝大家福慧增長，法喜充滿。阿彌陀佛！　　</w:t>
      </w:r>
    </w:p>
    <w:sectPr w:rsidR="009960E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8AE62" w14:textId="77777777" w:rsidR="009960E2" w:rsidRDefault="009960E2" w:rsidP="00034AB9">
      <w:r>
        <w:separator/>
      </w:r>
    </w:p>
  </w:endnote>
  <w:endnote w:type="continuationSeparator" w:id="0">
    <w:p w14:paraId="5A2D6801" w14:textId="77777777" w:rsidR="009960E2" w:rsidRDefault="009960E2" w:rsidP="00034A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BF69B" w14:textId="77777777" w:rsidR="009960E2" w:rsidRDefault="009960E2" w:rsidP="00034AB9">
      <w:r>
        <w:separator/>
      </w:r>
    </w:p>
  </w:footnote>
  <w:footnote w:type="continuationSeparator" w:id="0">
    <w:p w14:paraId="340E912C" w14:textId="77777777" w:rsidR="009960E2" w:rsidRDefault="009960E2" w:rsidP="00034A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AB9"/>
    <w:rsid w:val="00034AB9"/>
    <w:rsid w:val="007931EE"/>
    <w:rsid w:val="0099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E893B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4A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4A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4A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4A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532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