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B402" w14:textId="77777777" w:rsidR="00B31D5F" w:rsidRDefault="00B31D5F">
      <w:r>
        <w:t xml:space="preserve">每日論語　　悟道法師主講　　（第一七四集）　　</w:t>
      </w:r>
      <w:r>
        <w:t>2019/5/15</w:t>
      </w:r>
      <w:r>
        <w:t xml:space="preserve">　　上海　　檔名：</w:t>
      </w:r>
      <w:r>
        <w:t xml:space="preserve">WD20-037-0174 </w:t>
      </w:r>
    </w:p>
    <w:p w14:paraId="44D8B6EC" w14:textId="77777777" w:rsidR="00B31D5F" w:rsidRDefault="00B31D5F">
      <w:pPr>
        <w:pStyle w:val="a3"/>
      </w:pPr>
      <w:r>
        <w:t xml:space="preserve">　　諸位同學，大家早上好！我們繼續來學習雪廬老人的《論語講記》，「述而篇」。</w:t>
      </w:r>
      <w:r>
        <w:t xml:space="preserve"> </w:t>
      </w:r>
    </w:p>
    <w:p w14:paraId="48EE61DD" w14:textId="77777777" w:rsidR="00B31D5F" w:rsidRDefault="00B31D5F">
      <w:pPr>
        <w:pStyle w:val="a3"/>
      </w:pPr>
      <w:r>
        <w:t xml:space="preserve">　　【志於道。據於德。依於仁。游於藝。】</w:t>
      </w:r>
      <w:r>
        <w:t xml:space="preserve"> </w:t>
      </w:r>
    </w:p>
    <w:p w14:paraId="7C2D24DD" w14:textId="77777777" w:rsidR="00B31D5F" w:rsidRDefault="00B31D5F">
      <w:pPr>
        <w:pStyle w:val="a3"/>
      </w:pPr>
      <w:r>
        <w:t xml:space="preserve">　　前面我們學習附錄一，後面雪廬老人還有一個總結附錄二。</w:t>
      </w:r>
      <w:r>
        <w:t xml:space="preserve"> </w:t>
      </w:r>
    </w:p>
    <w:p w14:paraId="6AEC1A5C" w14:textId="77777777" w:rsidR="00B31D5F" w:rsidRDefault="00B31D5F">
      <w:pPr>
        <w:pStyle w:val="a3"/>
      </w:pPr>
      <w:r>
        <w:t xml:space="preserve">　　「志於道章，吾編表注，動一處就要牽動其餘的，翻來覆去，經過多少次，可見這種事的困難。古人云﹕事非經過不知難。佛家聞思修的思，儒家的慎思都很重要。」這個附錄二總結這一段，雪廬老人就講到編這個表、注解，經過很多次，可見這個事困難，事非經過不知難。重要的就是佛家的聞思修，儒家的慎思，這個很重要。</w:t>
      </w:r>
      <w:r>
        <w:t xml:space="preserve"> </w:t>
      </w:r>
    </w:p>
    <w:p w14:paraId="7EBC20CC" w14:textId="77777777" w:rsidR="00B31D5F" w:rsidRDefault="00B31D5F">
      <w:pPr>
        <w:pStyle w:val="a3"/>
      </w:pPr>
      <w:r>
        <w:t xml:space="preserve">　　「吾不願在外講，因為有客氣、有忌諱，不能講得透闢，所以必須以時事為比喻，能近取譬，可謂仁之方也已。」這一段就是雪廬老人他在蓮社對內部蓮友講，他比較不願意在外面講，因為外面都必須要講一些客氣話，還有忌諱，所以不能把這個事理講得很透徹、精闢，必須用當時發生過的事情來作一個比喻，這個是仁之方（方法）。這個我們也可以理解，所以過去雪廬老人講這個東西，他不太想到外面去講。</w:t>
      </w:r>
      <w:r>
        <w:t xml:space="preserve"> </w:t>
      </w:r>
    </w:p>
    <w:p w14:paraId="1243292C" w14:textId="77777777" w:rsidR="00B31D5F" w:rsidRDefault="00B31D5F">
      <w:pPr>
        <w:pStyle w:val="a3"/>
      </w:pPr>
      <w:r>
        <w:t xml:space="preserve">　　「整個中國文化，就是志道、據德、依仁、游藝四句」，這是給我們點出來，整個中國文化就在這四句。「教育有本有末，這才是人辦的教育」，這個非常重要，教育本末都有，這才是人辦的教育。「何謂人？並不是外在的形相，必須講內容。」不是說有人這個形象那他就是人了，這裡講的必須要有內容。「《禮記》說，鸚鵡能言，猩猩能行，不懂禮，是禽獸也，所以人必須先講人格。」在《禮記》講，鸚鵡牠也能學人講話，猩猩也跟人一樣可以站起來走路，但是不懂禮，牠是禽獸，所以人必須先講求人格。「為什麼要安設《論語》班？不在其位不謀其政，你們學佛，首先必須學人」，學做人，「人格尚且不立，學佛不會得好結果」。這一段話非常重要，我們現在學了佛，但是人格都還站不起來，那學佛怎麼會有成就呢？「佛家偏於出世法，《論語》為世間法，學佛的人，或是未學佛的人，都可以學《論語》。」有沒有學佛統統可以學《論語》。「人身難得，學佛能學《論語》，人道便可以成就，所以吾辦《論語》班。」這一段雪廬老人說明為什麼他要辦《論語》班這個原因。</w:t>
      </w:r>
      <w:r>
        <w:t xml:space="preserve"> </w:t>
      </w:r>
    </w:p>
    <w:p w14:paraId="358F4897" w14:textId="77777777" w:rsidR="00B31D5F" w:rsidRDefault="00B31D5F">
      <w:pPr>
        <w:pStyle w:val="a3"/>
      </w:pPr>
      <w:r>
        <w:t xml:space="preserve">　　「這個班景象好，旁聽比正式生加兩三倍，有學習興趣，因為你們學佛法的緣故，沒有學過佛法便聽不進去。今日學校也開設《論語》課，但是大家討厭聽，為什麼？教《論語》必須知道對方的心理，《論語》書雖然已經印了，但教的是什麼人？」這個教的人就很關鍵了。「凡事豫則立，不豫則廢，隔行如隔山，沒有學過《論語》就很難講出來。」沒有學過，去講就很難講。「中國一切學問都離不開道，其次是德，再來是仁，這仍是內在自己的功夫，最後才是藝。前三者為民族主義，後一者為民生主義。今日只講藝，就是沒有人格。」這個道德仁藝，現在教育就沒有前面這個道德仁，都是從這個藝，這個技藝（技能、藝術），現在只有這個。所以前三是民族主義，後一是民生主義，這個藝是民生主義。就是沒有人格了，現在沒有學做人。「現今的台灣，民生工業等等一切都很好，但是教育不行，出太保，一舞弊便有</w:t>
      </w:r>
      <w:r>
        <w:lastRenderedPageBreak/>
        <w:t>數千萬。六藝之首為禮，沒有禮，其餘就不必論了。開始種稗果能結嘉禾嗎？」這個稗是稻田裡面的害草，你開始種那個害草，那能夠得到好的稻米嗎？「前途能好嗎？」雪廬老人就質疑這個了。你一開始種就種了不好的東西，那怎麼會得好結果呢？怎麼會有好的前途呢？「至誠之道，可以前知，不必神通便可以預見未來。藝應以仁為出發點，你們聽後必須學，學了之後本身才好，才能學佛，地方就能得安定，便能治國。人人不犯法，就不必刑警隊了。」</w:t>
      </w:r>
      <w:r>
        <w:t xml:space="preserve"> </w:t>
      </w:r>
    </w:p>
    <w:p w14:paraId="54E086E5" w14:textId="77777777" w:rsidR="00B31D5F" w:rsidRDefault="00B31D5F">
      <w:pPr>
        <w:pStyle w:val="a3"/>
      </w:pPr>
      <w:r>
        <w:t xml:space="preserve">　　「一動是業相、見相、境界相。格物就是來了物，一覺便是致知，見相、境界相都不生，更沒有六粗，最直接了當。學這個，對學佛幫助很大，誰說《論語》只是世間法而已？」這個《論語》不只世間法，也有出世間法。所以懂了這個，學《論語》對學佛幫助很大。</w:t>
      </w:r>
      <w:r>
        <w:t xml:space="preserve"> </w:t>
      </w:r>
    </w:p>
    <w:p w14:paraId="44A3E851" w14:textId="77777777" w:rsidR="00B31D5F" w:rsidRDefault="00B31D5F">
      <w:pPr>
        <w:pStyle w:val="a3"/>
      </w:pPr>
      <w:r>
        <w:t xml:space="preserve">　　下面講「餘論」，講「冉有曰夫子為衛君乎」這一章前講的。</w:t>
      </w:r>
      <w:r>
        <w:t xml:space="preserve"> </w:t>
      </w:r>
    </w:p>
    <w:p w14:paraId="5F143F32" w14:textId="77777777" w:rsidR="00B31D5F" w:rsidRDefault="00B31D5F">
      <w:pPr>
        <w:pStyle w:val="a3"/>
      </w:pPr>
      <w:r>
        <w:t xml:space="preserve">　　「這兩張表以《中國文化綱要》為題目。孔子的學說，就是中國堯舜禹湯、文武周公的學說。孔子憲章文武，祖述堯舜，是集文化的大成者，是述而不作的緣故。中國文化，不是二三句話可以說得盡的，而志於道章最為扼要。」『志於道』這一章書最扼要。</w:t>
      </w:r>
      <w:r>
        <w:t xml:space="preserve"> </w:t>
      </w:r>
    </w:p>
    <w:p w14:paraId="26C93DDA" w14:textId="77777777" w:rsidR="00B31D5F" w:rsidRDefault="00B31D5F">
      <w:pPr>
        <w:pStyle w:val="a3"/>
      </w:pPr>
      <w:r>
        <w:t xml:space="preserve">　　「宋儒講孔子的內容，錯解百出。例如《大學》三綱的說法，這是一件。又篡改經典，把《大學》的次第都弄亂了，這是第二件。格物致知為二件事，宋儒併為一件事，這是第三點。程朱又補釋格物致知的錯謬，這是第四點。」以上雪廬老人舉出宋儒這個注解錯誤有四點。</w:t>
      </w:r>
      <w:r>
        <w:t xml:space="preserve"> </w:t>
      </w:r>
    </w:p>
    <w:p w14:paraId="1156A220" w14:textId="77777777" w:rsidR="00B31D5F" w:rsidRDefault="00B31D5F">
      <w:pPr>
        <w:pStyle w:val="a3"/>
      </w:pPr>
      <w:r>
        <w:t xml:space="preserve">　　「格致誠正，按《大乘起信論》，可以解釋得很明白，然後才知道孔子真是聖人。格致誠正是明明德的內功，朱子解釋成即物窮理，這是大錯。」「流轉而有還滅」，這是講十二因緣法了，「三細的無明業相生起以後，就有能見相和境界相」。「但是業相初動時，能夠立刻覺悟就可以成功。《大學》、《中庸》的好處，在於文以載道，它的好不在文字，而在其中的見識。」「《反身錄》的好，是倡道不倡文」，提倡這個道，不提倡這個文字。「而吾觀今日的情勢，是斯文掃地，所以才兼著提倡文理。」</w:t>
      </w:r>
      <w:r>
        <w:t xml:space="preserve"> </w:t>
      </w:r>
    </w:p>
    <w:p w14:paraId="43965581" w14:textId="77777777" w:rsidR="00B31D5F" w:rsidRDefault="00B31D5F">
      <w:pPr>
        <w:pStyle w:val="a3"/>
      </w:pPr>
      <w:r>
        <w:t xml:space="preserve">　　「再來補充解釋游於藝。道是本體，德是內心現象，藝則是行仁的工具，辦事不可沒有工具。六藝，在今日只剩數學，其餘的藝都已經改變了。」「就是六藝的書，今人所讀的也不是有益的書」，現在的人讀的不是有利益的書。「卻又添加許多藝，例如殺人的武器。」「而今人所學的藝，都是百工技能而已」，一些各行各業的技術能力而已。「顏子說：博我以文，約我以禮。這是指什麼？指孔子當時的六藝。六藝就有人能，有人不能，甚為複雜。雖然一事不知，儒者所恥，但是六藝究竟是很複雜，例如有人的數學能隔屋算糧，音樂如師曠聞琴，他說：南風不競，知道楚國必定不會勝晉國。六藝已經很多了，百工更多，所以說博我以文，都得學。一事不知，就是儒者所恥。」</w:t>
      </w:r>
      <w:r>
        <w:t xml:space="preserve"> </w:t>
      </w:r>
    </w:p>
    <w:p w14:paraId="795B1252" w14:textId="77777777" w:rsidR="00B31D5F" w:rsidRDefault="00B31D5F">
      <w:pPr>
        <w:pStyle w:val="a3"/>
      </w:pPr>
      <w:r>
        <w:t xml:space="preserve">　　「但是學六藝百工技能，要先學禮」，六藝禮是為首。「所謂約我以禮。因為道德仁義乃至婚喪、教法，都不可以離開禮，離開禮就不會成功，所以必得先學禮。大家必須知道：我們都不懂禮，外表的儀式不是禮。禮是什麼？事情該辦就辦，不該辦</w:t>
      </w:r>
      <w:r>
        <w:lastRenderedPageBreak/>
        <w:t>就不辦。但是何者該辦，何者不該辦，誰知道？視聽言動，何時該如何，何時不該如何，這又有誰知道？辦該辦的事，都辦對了嗎？都辦好了嗎？可見不是容易的。」</w:t>
      </w:r>
      <w:r>
        <w:t xml:space="preserve"> </w:t>
      </w:r>
    </w:p>
    <w:p w14:paraId="35DAD989" w14:textId="77777777" w:rsidR="00B31D5F" w:rsidRDefault="00B31D5F">
      <w:pPr>
        <w:pStyle w:val="a3"/>
      </w:pPr>
      <w:r>
        <w:t xml:space="preserve">　　「《三字經》說：幼而學，壯而行，三十歲以後，就應當在社會上辦事了，若不能辦，便是書呆子。孔子說：誦詩三百，授之以政，不達，使於四方，不能專對，雖多亦奚以為？我們聽聞這個道理以後，就應該知道活一日，就要為社會辦一日的事情，別辦錯事，而且學佛將來可以成就。吾今教你們這個道理，就是希望你們以後能往生淨土。」這一句又是對我們念佛人很重要的指點。</w:t>
      </w:r>
      <w:r>
        <w:t xml:space="preserve"> </w:t>
      </w:r>
    </w:p>
    <w:p w14:paraId="27D83F74" w14:textId="77777777" w:rsidR="00B31D5F" w:rsidRDefault="00B31D5F">
      <w:pPr>
        <w:pStyle w:val="a3"/>
      </w:pPr>
      <w:r>
        <w:t xml:space="preserve">　　「游於藝要先學禮。吾編《常禮舉要》，但是懂得常禮的有幾人？」而且依照常禮辦的又有幾人？「常禮尚且如此不容易，其餘三禮所說的，那該如何？所以才為大家講這一章書。」這是雪廬老人講這一章書，再給我們說明，為什麼要講這一章書，為什麼要講《論語》。</w:t>
      </w:r>
      <w:r>
        <w:t xml:space="preserve"> </w:t>
      </w:r>
    </w:p>
    <w:p w14:paraId="2E070116" w14:textId="77777777" w:rsidR="00B31D5F" w:rsidRDefault="00B31D5F">
      <w:pPr>
        <w:pStyle w:val="a3"/>
      </w:pPr>
      <w:r>
        <w:t xml:space="preserve">　　「若論辦事，連我都不明白，不是吾不想明說，也有一些無奈。例如張良當初行遍天下，想說服諸將，卻如以水投石。後來向漢高祖說，如以石投水，才能聽入心裡。」這個就是雪廬老人講的，我們好好去思，聞思修。我們從這個當中慎思，或者聞思修，有了領悟，那麼就是自己有心得了。</w:t>
      </w:r>
      <w:r>
        <w:t xml:space="preserve"> </w:t>
      </w:r>
    </w:p>
    <w:p w14:paraId="5DC16874" w14:textId="77777777" w:rsidR="00B31D5F" w:rsidRDefault="00B31D5F">
      <w:pPr>
        <w:pStyle w:val="a3"/>
      </w:pPr>
      <w:r>
        <w:t xml:space="preserve">　　好，這一章書我們就學習到這裡。祝大家福慧增長，法喜充滿。阿彌陀佛！　　</w:t>
      </w:r>
    </w:p>
    <w:sectPr w:rsidR="00B31D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D8A0" w14:textId="77777777" w:rsidR="00B31D5F" w:rsidRDefault="00B31D5F" w:rsidP="005B4007">
      <w:r>
        <w:separator/>
      </w:r>
    </w:p>
  </w:endnote>
  <w:endnote w:type="continuationSeparator" w:id="0">
    <w:p w14:paraId="1B78896E" w14:textId="77777777" w:rsidR="00B31D5F" w:rsidRDefault="00B31D5F" w:rsidP="005B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46E30" w14:textId="77777777" w:rsidR="00B31D5F" w:rsidRDefault="00B31D5F" w:rsidP="005B4007">
      <w:r>
        <w:separator/>
      </w:r>
    </w:p>
  </w:footnote>
  <w:footnote w:type="continuationSeparator" w:id="0">
    <w:p w14:paraId="2397E4FA" w14:textId="77777777" w:rsidR="00B31D5F" w:rsidRDefault="00B31D5F" w:rsidP="005B4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07"/>
    <w:rsid w:val="005B4007"/>
    <w:rsid w:val="007931EE"/>
    <w:rsid w:val="00B3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D18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