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3F35" w14:textId="77777777" w:rsidR="00032FEC" w:rsidRDefault="00032FEC">
      <w:r>
        <w:t xml:space="preserve">每日論語　　悟道法師主講　　（第一八三集）　　</w:t>
      </w:r>
      <w:r>
        <w:t>2019/5/24</w:t>
      </w:r>
      <w:r>
        <w:t xml:space="preserve">　　台灣　　檔名：</w:t>
      </w:r>
      <w:r>
        <w:t xml:space="preserve">WD20-037-0183 </w:t>
      </w:r>
    </w:p>
    <w:p w14:paraId="59C9967D" w14:textId="77777777" w:rsidR="00032FEC" w:rsidRDefault="00032FEC">
      <w:pPr>
        <w:pStyle w:val="a3"/>
      </w:pPr>
      <w:r>
        <w:t xml:space="preserve">　　諸位同學，大家早上好！我們繼續來學習雪廬老人的《論語講記》，「述而篇」第十五章。</w:t>
      </w:r>
      <w:r>
        <w:t xml:space="preserve"> </w:t>
      </w:r>
    </w:p>
    <w:p w14:paraId="259F2921" w14:textId="77777777" w:rsidR="00032FEC" w:rsidRDefault="00032FEC">
      <w:pPr>
        <w:pStyle w:val="a3"/>
      </w:pPr>
      <w:r>
        <w:t xml:space="preserve">　　【子曰。飯疏食飲水。曲肱而枕之。樂亦在其中矣。不義而富且貴。於我如浮雲。】</w:t>
      </w:r>
      <w:r>
        <w:t xml:space="preserve"> </w:t>
      </w:r>
    </w:p>
    <w:p w14:paraId="65F9AA28" w14:textId="77777777" w:rsidR="00032FEC" w:rsidRDefault="00032FEC">
      <w:pPr>
        <w:pStyle w:val="a3"/>
      </w:pPr>
      <w:r>
        <w:t xml:space="preserve">　　『子曰：飯疏食飲水，曲肱而枕之，樂亦在其中矣。』「疏，一作蔬，蔬菜。」就是疏忽的疏上面加個草字頭，那就是蔬菜的蔬。有一個解釋就是飯蔬，就是蔬菜，「一作原字，粗也。」另外一個解釋，解釋做為原字，就是粗，粗糙的粗。所以蔬這個字兩種解釋，一個當作蔬菜來解釋，一個當作粗，就是粗細這個粗來解釋。「吾主張作粗解釋，粗」，這個字左邊是個米，「從米且聲」，右邊是且，而且的且，從米且聲就是粗，「指米不是菜。」這是指米，我們現在講糙米，或者那個米是很粗糙，不是很好吃的那個米。現在的米，像台灣有蓬萊米，煮起來很好看，吃起來有黏黏的，口感很好，這個據說從日本傳到台灣來。另外一個叫本島米（在來米），就是我們小時候吃的，那個比較長沒有黏性，吃起來那個口感就比較粗糙，比較沒有蓬萊米那麼甜，那麼好吃，而且不黏。但是這個本島米，就台灣本島出產這個米，胃不好的人，吃了不脹氣。蓬萊米、糯米，胃不好的人，吃了就不好消化，脹氣，但是那個是比較好吃。所以這裡雪廬老人講，這個疏當作粗，粗米，這個不是菜。</w:t>
      </w:r>
      <w:r>
        <w:t xml:space="preserve"> </w:t>
      </w:r>
    </w:p>
    <w:p w14:paraId="3601B233" w14:textId="77777777" w:rsidR="00032FEC" w:rsidRDefault="00032FEC">
      <w:pPr>
        <w:pStyle w:val="a3"/>
      </w:pPr>
      <w:r>
        <w:t xml:space="preserve">　　「孔子說，食粗食，喝水，沒有湯，睡覺也沒有枕頭，曲肱而枕之。這當中有至高的樂趣，在窮上的樂趣，窮有什麼樂？今日難講」，的確在今天講這個，現代人無法體會了。窮不是很苦的嗎？怎麼會有快樂的？現代人不懂。為什麼不懂？因為沒有學聖賢之道，所以就不懂了。「學佛多不愛財，也有開佛店的人，財就多多益善了。」真正學佛的人都是不愛錢財，有錢財來了也是要布施。但是也有開佛店的人，佛門寺院道場當作商店做買賣，財就多多益善。這是講現在人連佛門也都不例外了，不懂得窮有窮的快樂。在佛門裡面講，佛三衣一缽，日中一食，樹下一宿，那是最窮，物質生活已經到最低了。但是佛是最快樂的，他那個快樂我們無法體會。「你們做壞事，怕因果，或者不做壞事，可以不添加惑業，貧有不加惑業的樂，這是淺說而已。」這段就是講做壞事怕有因果，或者不做壞事，可以不添加惑業，就是你不去做壞事，這個惑業就不會增加。貧有不加惑業的樂，這個貧就是沒有錢那你就少造業，有了錢就多造業。所以貧有不會增加惑業這個快樂，就是不會去造業來增加惑業。這個一般講，如果有錢，人一富有、一享福就迷惑顛倒，就造業，那惑就增加了。這是淺說，就是比較淺的解說。</w:t>
      </w:r>
      <w:r>
        <w:t xml:space="preserve"> </w:t>
      </w:r>
    </w:p>
    <w:p w14:paraId="7A1E170E" w14:textId="77777777" w:rsidR="00032FEC" w:rsidRDefault="00032FEC">
      <w:pPr>
        <w:pStyle w:val="a3"/>
      </w:pPr>
      <w:r>
        <w:t xml:space="preserve">　　「又說是仰不愧天，俯不怍人，這也是淺講。」這個講法也是講得比較淺。「若能明心見性，那種樂就大了，《心經》云：無智亦無得，到究竟處，佛來殺佛，魔來殺魔，一相不立，朝聞道，夕死可矣。」明心見性那是至樂，那個快樂是天上人間所沒有的，體會不到的，得究竟樂。「樂得了道，樂在窮中」，樂什麼快樂？樂得道了，成佛了。我們讀《彌陀經》極樂世界，能把握往生極樂世界，那個樂是已經到極處，沒有比這個快樂的。所以樂得了道，樂在窮中，雖然現在貧窮，但是這個快樂就在貧窮當中。「北俱盧洲不能學佛，那是八難之一。」這是引用我們佛經講的四大部洲，北俱盧洲的人福報最大，但是不能學佛，被富貴所迷了。所以《四十二章經》佛</w:t>
      </w:r>
      <w:r>
        <w:lastRenderedPageBreak/>
        <w:t>也講「富貴學道難」，那是八難之一，他遭難了，他不能學佛，不能了生死出三界、脫離六道生死輪迴。</w:t>
      </w:r>
      <w:r>
        <w:t xml:space="preserve"> </w:t>
      </w:r>
    </w:p>
    <w:p w14:paraId="6F676DB1" w14:textId="77777777" w:rsidR="00032FEC" w:rsidRDefault="00032FEC">
      <w:pPr>
        <w:pStyle w:val="a3"/>
      </w:pPr>
      <w:r>
        <w:t xml:space="preserve">　　『不義而富且貴，於我如浮雲。』不義，不合正義而得到的財富，這個權貴，貴就是地位，做大官，孔子講，對於我來講好像天上那個浮雲一樣，這樣的富貴像浮雲一樣。這個也是聖人所不追求的、不取的，不義的富貴他不會去要的。「富貴若不合正義、不得其道，那是不應該得的，若又富又貴，那都不是從正道來。」不是從正當這個道所得來的。孔子說，像這樣的富貴，對於我來看，就像天上的浮雲一樣。「富貴是人之所愛」，世間人哪個人不想要得到富貴？「但是不該得的富貴於我如浮雲，與我無關。」所以這個富貴得來要問問合不合正義，如果不合正義，像浮雲一樣與我無關，不取這樣的富貴。「義與我們有關」，合乎正義、道義的，與我們就有關係了。「明心見性，與了生死有關係。」這是講到義，所以一個義，一個不義，富貴得來是從義得來，還是不義得來？這個關鍵就在這裡。</w:t>
      </w:r>
      <w:r>
        <w:t xml:space="preserve"> </w:t>
      </w:r>
    </w:p>
    <w:p w14:paraId="6DE81802" w14:textId="77777777" w:rsidR="00032FEC" w:rsidRDefault="00032FEC">
      <w:pPr>
        <w:pStyle w:val="a3"/>
      </w:pPr>
      <w:r>
        <w:t xml:space="preserve">　　好，這章書我們就先學習到這裡。祝大家福慧增長，法喜充滿。阿彌陀佛！　　</w:t>
      </w:r>
    </w:p>
    <w:sectPr w:rsidR="00032F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0801" w14:textId="77777777" w:rsidR="00032FEC" w:rsidRDefault="00032FEC" w:rsidP="0005059F">
      <w:r>
        <w:separator/>
      </w:r>
    </w:p>
  </w:endnote>
  <w:endnote w:type="continuationSeparator" w:id="0">
    <w:p w14:paraId="1FA279D5" w14:textId="77777777" w:rsidR="00032FEC" w:rsidRDefault="00032FEC" w:rsidP="0005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9E26E" w14:textId="77777777" w:rsidR="00032FEC" w:rsidRDefault="00032FEC" w:rsidP="0005059F">
      <w:r>
        <w:separator/>
      </w:r>
    </w:p>
  </w:footnote>
  <w:footnote w:type="continuationSeparator" w:id="0">
    <w:p w14:paraId="536F2285" w14:textId="77777777" w:rsidR="00032FEC" w:rsidRDefault="00032FEC" w:rsidP="00050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9F"/>
    <w:rsid w:val="00032FEC"/>
    <w:rsid w:val="000505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794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5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5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5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5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