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513F0" w14:textId="77777777" w:rsidR="001C6CD5" w:rsidRDefault="001C6CD5">
      <w:r>
        <w:t xml:space="preserve">每日論語　　悟道法師主講　　（第一八六集）　　</w:t>
      </w:r>
      <w:r>
        <w:t>2019/5/27</w:t>
      </w:r>
      <w:r>
        <w:t xml:space="preserve">　　台灣　　檔名：</w:t>
      </w:r>
      <w:r>
        <w:t xml:space="preserve">WD20-037-0186 </w:t>
      </w:r>
    </w:p>
    <w:p w14:paraId="14FAD76D" w14:textId="77777777" w:rsidR="001C6CD5" w:rsidRDefault="001C6CD5">
      <w:pPr>
        <w:pStyle w:val="a3"/>
      </w:pPr>
      <w:r>
        <w:t xml:space="preserve">　　諸位同學，大家早上好！我們繼續來學習雪廬老人的《論語講記》，「述而篇」第十八章。</w:t>
      </w:r>
      <w:r>
        <w:t xml:space="preserve"> </w:t>
      </w:r>
    </w:p>
    <w:p w14:paraId="76272006" w14:textId="77777777" w:rsidR="001C6CD5" w:rsidRDefault="001C6CD5">
      <w:pPr>
        <w:pStyle w:val="a3"/>
      </w:pPr>
      <w:r>
        <w:t xml:space="preserve">　　【葉公問孔子於子路。子路不對。子曰。女奚不曰。其為人也。發憤忘食。樂以忘憂。不知老之將至云爾。】</w:t>
      </w:r>
      <w:r>
        <w:t xml:space="preserve"> </w:t>
      </w:r>
    </w:p>
    <w:p w14:paraId="5604858F" w14:textId="77777777" w:rsidR="001C6CD5" w:rsidRDefault="001C6CD5">
      <w:pPr>
        <w:pStyle w:val="a3"/>
      </w:pPr>
      <w:r>
        <w:t xml:space="preserve">　　『葉公問孔子於子路』，這裡葉（音設）這個字，就是我們平常看樹葉那個葉，在這裡念設。這個葉也是一個地方，說有個葉公。「葉公是楚大夫，僭越稱公。」為什麼說僭越？就是越分了。國君稱公，大夫他也稱公，這就僭越了，因為大夫他不是國君，國君才稱公。公侯伯子男，大夫不能稱公，他自己稱公就是僭越，不合乎他的身分、地位。</w:t>
      </w:r>
      <w:r>
        <w:t xml:space="preserve"> </w:t>
      </w:r>
    </w:p>
    <w:p w14:paraId="068490B3" w14:textId="77777777" w:rsidR="001C6CD5" w:rsidRDefault="001C6CD5">
      <w:pPr>
        <w:pStyle w:val="a3"/>
      </w:pPr>
      <w:r>
        <w:t xml:space="preserve">　　「葉公問孔子，問什麼事並沒有說，有人以自己的意思偽造，這是強不知以為知。其實不必多說，闕疑可以。」雪廬老人講，這一段話，葉公問孔子，問什麼事，這裡並沒有說明，以後注解的人就以自己的意思去偽造、去揣測，揣測當時問的意思，這是不對的，這是強不知以為知。所以雪廬老人講，像這樣的地方其實不必多說，闕疑可以，你就闕疑、存疑，這樣就可以了。</w:t>
      </w:r>
      <w:r>
        <w:t xml:space="preserve"> </w:t>
      </w:r>
    </w:p>
    <w:p w14:paraId="26AFDD06" w14:textId="77777777" w:rsidR="001C6CD5" w:rsidRDefault="001C6CD5">
      <w:pPr>
        <w:pStyle w:val="a3"/>
      </w:pPr>
      <w:r>
        <w:t xml:space="preserve">　　『子路不對』，「子路不答覆，大概葉公所問的不合理」。「固然子路不敢答覆，但是真正什麼意思，我們也不能知道」，這是雪廬老人給我們講，這個是什麼意思我們也不知道。</w:t>
      </w:r>
      <w:r>
        <w:t xml:space="preserve"> </w:t>
      </w:r>
    </w:p>
    <w:p w14:paraId="43BEF949" w14:textId="77777777" w:rsidR="001C6CD5" w:rsidRDefault="001C6CD5">
      <w:pPr>
        <w:pStyle w:val="a3"/>
      </w:pPr>
      <w:r>
        <w:t xml:space="preserve">　　『子曰：女奚不曰？』「後來孔子知道了，跟子路說：你為何不答覆？你這樣答就可以了。」葉公問子路，孔子這個人是什麼樣的？子路沒有回答。後來孔子知道了，就跟子路講：那你為什麼不這樣答覆？怎麼答覆？這樣答覆就可以了，就是答覆他：『其為人也』，就是孔子他的為人，『發憤忘食，樂以忘憂，不知老之將至云爾』。說孔子，「他這個人發憤忘食，有什麼事如果一振奮起來，飯也忘了食，快樂起來就忘了憂，所憤所樂為了什麼，不知道」。「有注解說發憤為學，樂道，這麼講還不離題。」有的注解就解釋說，孔子他發憤什麼？樂什麼？就是發憤為學，樂道，那這個講法不離題。「不知道一天天的老了，怕發的憤辦不了，樂的事也辦不了，不能行道。這麼說還可以講得通，但也是揣測之辭」，這也是一個揣測。</w:t>
      </w:r>
      <w:r>
        <w:t xml:space="preserve"> </w:t>
      </w:r>
    </w:p>
    <w:p w14:paraId="106E31A6" w14:textId="77777777" w:rsidR="001C6CD5" w:rsidRDefault="001C6CD5">
      <w:pPr>
        <w:pStyle w:val="a3"/>
      </w:pPr>
      <w:r>
        <w:t xml:space="preserve">　　所以這章書，我們就從它的含義來學習就好，也不必去揣測當時夫子是什麼樣的，可能有一些揣測跟事實上是不相符合的。這也是雪廬老人給我們指點看《論語》注解、學習《論語》一個很重要的地方。所以我們不知就不知，不要不知強以為知。這一句我們用來在自己身上，做任何事情發憤忘食，在這個當中得到樂趣，樂以忘憂，那就不知道老了，已經到了，我們這樣，回到我們身上這樣來學習，那麼就可以了。</w:t>
      </w:r>
      <w:r>
        <w:t xml:space="preserve"> </w:t>
      </w:r>
    </w:p>
    <w:p w14:paraId="6E7375C2" w14:textId="77777777" w:rsidR="001C6CD5" w:rsidRDefault="001C6CD5">
      <w:pPr>
        <w:pStyle w:val="a3"/>
      </w:pPr>
      <w:r>
        <w:t xml:space="preserve">　　好，這一章書我們就學習到這裡。祝大家福慧增長，法喜充滿。阿彌陀佛！　　</w:t>
      </w:r>
    </w:p>
    <w:sectPr w:rsidR="001C6C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07F90" w14:textId="77777777" w:rsidR="001C6CD5" w:rsidRDefault="001C6CD5" w:rsidP="008A51B6">
      <w:r>
        <w:separator/>
      </w:r>
    </w:p>
  </w:endnote>
  <w:endnote w:type="continuationSeparator" w:id="0">
    <w:p w14:paraId="51C2685F" w14:textId="77777777" w:rsidR="001C6CD5" w:rsidRDefault="001C6CD5" w:rsidP="008A51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40DF7" w14:textId="77777777" w:rsidR="001C6CD5" w:rsidRDefault="001C6CD5" w:rsidP="008A51B6">
      <w:r>
        <w:separator/>
      </w:r>
    </w:p>
  </w:footnote>
  <w:footnote w:type="continuationSeparator" w:id="0">
    <w:p w14:paraId="13B5F7E3" w14:textId="77777777" w:rsidR="001C6CD5" w:rsidRDefault="001C6CD5" w:rsidP="008A51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1B6"/>
    <w:rsid w:val="001C6CD5"/>
    <w:rsid w:val="007931EE"/>
    <w:rsid w:val="008A5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3CF4A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51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51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51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51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