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67FB" w14:textId="77777777" w:rsidR="00495491" w:rsidRDefault="00495491">
      <w:r>
        <w:t xml:space="preserve">每日論語　　悟道法師主講　　（第一八八集）　　</w:t>
      </w:r>
      <w:r>
        <w:t>2019/5/29</w:t>
      </w:r>
      <w:r>
        <w:t xml:space="preserve">　　台灣　　檔名：</w:t>
      </w:r>
      <w:r>
        <w:t xml:space="preserve">WD20-037-0188 </w:t>
      </w:r>
    </w:p>
    <w:p w14:paraId="704ABD28" w14:textId="77777777" w:rsidR="00495491" w:rsidRDefault="00495491">
      <w:pPr>
        <w:pStyle w:val="a3"/>
      </w:pPr>
      <w:r>
        <w:t xml:space="preserve">　　諸位同學，大家早上好！我們繼續來學習雪廬老人的《論語講記》，「述而篇」第二十章。</w:t>
      </w:r>
      <w:r>
        <w:t xml:space="preserve"> </w:t>
      </w:r>
    </w:p>
    <w:p w14:paraId="7E47917A" w14:textId="77777777" w:rsidR="00495491" w:rsidRDefault="00495491">
      <w:pPr>
        <w:pStyle w:val="a3"/>
      </w:pPr>
      <w:r>
        <w:t xml:space="preserve">　　【子不語。怪。力。亂。神。】</w:t>
      </w:r>
      <w:r>
        <w:t xml:space="preserve"> </w:t>
      </w:r>
    </w:p>
    <w:p w14:paraId="1AA4EF88" w14:textId="77777777" w:rsidR="00495491" w:rsidRDefault="00495491">
      <w:pPr>
        <w:pStyle w:val="a3"/>
      </w:pPr>
      <w:r>
        <w:t xml:space="preserve">　　『子不語』，「語與言不同，言是自己要說，自己發言。語是對語，兩人對話」。所以，言是自己發言，自己主動說的；語是兩方面，兩個人對話。</w:t>
      </w:r>
      <w:r>
        <w:t xml:space="preserve"> </w:t>
      </w:r>
    </w:p>
    <w:p w14:paraId="4485F1C6" w14:textId="77777777" w:rsidR="00495491" w:rsidRDefault="00495491">
      <w:pPr>
        <w:pStyle w:val="a3"/>
      </w:pPr>
      <w:r>
        <w:t xml:space="preserve">　　「孔子並不是從來不說怪力亂神，《論語》當中孔子就有說過」，不是說完全沒有說。「但是要是有人來問時，孔子不為他解釋」，怪力亂神的事情，「不跟他辯論，但是自己可以發議論說說」。自己講出來看法，議論，自己可以說，但是別人來問他這些事情，他就不給他說明這些事情了。為什麼？「因為有人來問而答覆」，有人來問這些怪力亂神的事情，如果夫子答覆他，「就容易會錯意，這樣便生毛病了」。就怕人家錯會意思，那這個毛病就出來了，所以夫子就不去跟人講這些事情。</w:t>
      </w:r>
      <w:r>
        <w:t xml:space="preserve"> </w:t>
      </w:r>
    </w:p>
    <w:p w14:paraId="619909B3" w14:textId="77777777" w:rsidR="00495491" w:rsidRDefault="00495491">
      <w:pPr>
        <w:pStyle w:val="a3"/>
      </w:pPr>
      <w:r>
        <w:t xml:space="preserve">　　『怪、力、亂、神』，這是四樁事情。「怪，奇怪的事。」現在這個時代怪事就特別多，奇怪的事。「力，超出平常的氣力，如羿善射」，后羿他很會射箭，一般人無法相比；「奡盪舟」，奡開船。這是舉出古時候的兩個例子，羿跟奡，一個很會射箭，一個很會蕩舟，開船那些技術一般人沒有辦法跟他相比，就是超乎平常的氣力。「亂，亂事，例如臣弒君，子弒父，殺警察」，這個就亂，這個亂事現在特別多。「神，鬼神的事情。」講鬼神方面的事情，這些事情古時候有，現在更多了，這些事情就很多。這個怪力亂神有人來問，夫子就不給他說這些事情。</w:t>
      </w:r>
      <w:r>
        <w:t xml:space="preserve"> </w:t>
      </w:r>
    </w:p>
    <w:p w14:paraId="471610E3" w14:textId="77777777" w:rsidR="00495491" w:rsidRDefault="00495491">
      <w:pPr>
        <w:pStyle w:val="a3"/>
      </w:pPr>
      <w:r>
        <w:t xml:space="preserve">　　「清朝以上，除了佛、道兩教以外，其餘的都是祕密結社不能公開的宗教」，清朝以上，就是說古代，佛教、道教是國家政府認定的，其他的宗教都是祕密的，不公開，「而儒家並不是宗教」。實際上講，儒釋道三教都不是宗教，都是教育，從漢朝到清朝，歷朝歷代國家、政府都以儒家的教育為主流。「這些不能公開的宗教，講的都是神。現今佛家講神通」，現在在佛門裡面，有人藉著佛門這個名義專門講神通的，「可以離地三尺，可以放金光，以為自焚便能成道，誤以為自殺就可以證果」。這個時代這些事情也不少，這些都是屬於怪力亂神的事情。</w:t>
      </w:r>
      <w:r>
        <w:t xml:space="preserve"> </w:t>
      </w:r>
    </w:p>
    <w:p w14:paraId="3492ADC8" w14:textId="77777777" w:rsidR="00495491" w:rsidRDefault="00495491">
      <w:pPr>
        <w:pStyle w:val="a3"/>
      </w:pPr>
      <w:r>
        <w:t xml:space="preserve">　　「古人隱惡揚善，就是為了防微杜漸的意思。」夫子不說這些，也是為了防微杜漸，怕人錯會意思，以為夫子鼓勵。「這四條，都會亂國，孔子講究隱惡揚善，所以不語。」這些不好的事情他不講，人家來問，他不講，隱惡揚善。「隱惡揚善，不只是愛護作惡的一人，而是愛護大家，恐怕人們互相學，學壞了，所以從前監獄中不許看報」，在監獄當中不可以看報紙，「以免交換惡知識」。進入監獄，如果再接觸這些惡知識，他將來出獄，造惡業就更厲害了，所以不允許。隱惡揚善就是希望人不要學惡，要學善。所以這章書主要就是夫子隱惡揚善，防微杜漸，這樣國家社會才不會亂。「可以參考《集解》的防微杜漸」，雪廬老人介紹，可以參考《論語集解》的防微杜漸，這個可以參考。有時間的同學大家可以參考《集解》，就這一條參考《集解》，這一條屬於防微杜漸。</w:t>
      </w:r>
      <w:r>
        <w:t xml:space="preserve"> </w:t>
      </w:r>
    </w:p>
    <w:p w14:paraId="7A2198E9" w14:textId="77777777" w:rsidR="00495491" w:rsidRDefault="00495491">
      <w:pPr>
        <w:pStyle w:val="a3"/>
      </w:pPr>
      <w:r>
        <w:lastRenderedPageBreak/>
        <w:t xml:space="preserve">　　好，這一章書我們就學習到這裡。祝大家福慧增長，法喜充滿。阿彌陀佛！　　</w:t>
      </w:r>
    </w:p>
    <w:sectPr w:rsidR="004954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ACFD1" w14:textId="77777777" w:rsidR="00495491" w:rsidRDefault="00495491" w:rsidP="004568FA">
      <w:r>
        <w:separator/>
      </w:r>
    </w:p>
  </w:endnote>
  <w:endnote w:type="continuationSeparator" w:id="0">
    <w:p w14:paraId="625FFABD" w14:textId="77777777" w:rsidR="00495491" w:rsidRDefault="00495491" w:rsidP="00456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279E1" w14:textId="77777777" w:rsidR="00495491" w:rsidRDefault="00495491" w:rsidP="004568FA">
      <w:r>
        <w:separator/>
      </w:r>
    </w:p>
  </w:footnote>
  <w:footnote w:type="continuationSeparator" w:id="0">
    <w:p w14:paraId="5A306A43" w14:textId="77777777" w:rsidR="00495491" w:rsidRDefault="00495491" w:rsidP="004568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FA"/>
    <w:rsid w:val="004568FA"/>
    <w:rsid w:val="0049549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467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8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8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8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8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