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3201A" w14:textId="77777777" w:rsidR="004C32D3" w:rsidRDefault="004C32D3">
      <w:r>
        <w:t xml:space="preserve">每日論語　　悟道法師主講　　（第二一二集）　　</w:t>
      </w:r>
      <w:r>
        <w:t>2019/6/22</w:t>
      </w:r>
      <w:r>
        <w:t xml:space="preserve">　　台灣　　檔名：</w:t>
      </w:r>
      <w:r>
        <w:t xml:space="preserve">WD20-037-0212 </w:t>
      </w:r>
    </w:p>
    <w:p w14:paraId="26235F36" w14:textId="77777777" w:rsidR="004C32D3" w:rsidRDefault="004C32D3">
      <w:pPr>
        <w:pStyle w:val="a3"/>
      </w:pPr>
      <w:r>
        <w:t xml:space="preserve">　　諸位同學，大家早上好！我們繼續來學習雪廬老人的《論語講記》，「泰伯篇」第六章。</w:t>
      </w:r>
      <w:r>
        <w:t xml:space="preserve"> </w:t>
      </w:r>
    </w:p>
    <w:p w14:paraId="36086552" w14:textId="77777777" w:rsidR="004C32D3" w:rsidRDefault="004C32D3">
      <w:pPr>
        <w:pStyle w:val="a3"/>
      </w:pPr>
      <w:r>
        <w:t xml:space="preserve">　　【曾子曰。以能問於不能。以多問於寡。有若無。實若虛。犯不而校。昔者吾友嘗從事於斯矣。】</w:t>
      </w:r>
      <w:r>
        <w:t xml:space="preserve"> </w:t>
      </w:r>
    </w:p>
    <w:p w14:paraId="7B23D84C" w14:textId="77777777" w:rsidR="004C32D3" w:rsidRDefault="004C32D3">
      <w:pPr>
        <w:pStyle w:val="a3"/>
      </w:pPr>
      <w:r>
        <w:t xml:space="preserve">　　「吾所講固然是注重道，不注重文字與考據，但是有太過意不去，說不通的地處，也必須說，否則將來你們會走錯路。例如後面的興於詩，必須三句連著解釋，又如前面的詩無邪」，邪要念也。詩無邪，「一般注解都將邪解釋為邪惡的邪，思無邪解釋成歸之於正，所以一路錯下。這些都必須致意」。這是屬於文字方面的，文字的讀音、意思。的確，這句如果沒有雪廬老人講，我們都是把它讀作思無邪（音諧），雪廬老人給我們講思無邪，要念也。</w:t>
      </w:r>
      <w:r>
        <w:t xml:space="preserve"> </w:t>
      </w:r>
    </w:p>
    <w:p w14:paraId="292DCFD3" w14:textId="77777777" w:rsidR="004C32D3" w:rsidRDefault="004C32D3">
      <w:pPr>
        <w:pStyle w:val="a3"/>
      </w:pPr>
      <w:r>
        <w:t xml:space="preserve">　　「這一章，唐朝有人以為是孔子所說」，這一章書，在唐朝的時候有人以為是孔子所說的。「但是就昔者吾友嘗從事於斯矣，這一句，難道孔子與顏子為朋友嗎？下一章的曾子曰也是如此。有人解釋為，《論語》所引都作孔子曰。」這裡雪廬老人給我們講，有人認為這章書是孔子說的，難道孔子跟顏子（顏回）的關係是朋友嗎？這個解釋也不通、不正確，這裡給我們舉出來。</w:t>
      </w:r>
      <w:r>
        <w:t xml:space="preserve"> </w:t>
      </w:r>
    </w:p>
    <w:p w14:paraId="5D8AA100" w14:textId="77777777" w:rsidR="004C32D3" w:rsidRDefault="004C32D3">
      <w:pPr>
        <w:pStyle w:val="a3"/>
      </w:pPr>
      <w:r>
        <w:t xml:space="preserve">　　「這一章書起變化是在唐代」，唐朝這個時代，「原來有太宗與孔穎達談論那一段。唐史有新、舊唐書」，二十五史裡面有《新唐書》、《舊唐書》。「《新唐書》為歐陽文忠公修撰，歐陽文忠公是大儒，改成孔子說」，把這一章改成孔子說的。「歐陽修是大儒尚且出大錯」，歐陽修在這個地方出了大錯，這不是孔子說，改成孔子說了。「到南宋更差，風氣更變壞」，到了南宋，這個風氣就更差、更壞了。「天一變，人的心理也變，隨意改書是大毛病，今人不僅改書，更看不起孔老二。」雪廬老人講，隨便去改古書，這是大毛病。現在的人不僅書亂改，更看不起孔子，都把孔子稱為孔老二了。「佛經的注子，古來祖師註解的，每落一字都不輕易，我們不能跟他們比較。」佛經的注解，祖師大德也非常謹慎，要落下一個字都不是很輕易的，我們不能跟祖師大德比較。「吾的文學雖不好，吾還有一點辨別能力，也絕不敢下斷語。」雪廬老人講他的文學不好，這也是謙虛，但是也是有實在的意思。雖然他說不好，但是比起我們，當然他有辨別能力，我們連辨別能力都沒有。雪廬老人講他能夠辨別，但是也決定不敢隨便下一個斷語。「孔子是聖人，尚且述而不作，我們的文學不行，最好的不過是讀過唐宋八大家，《古文觀止》而已，那不中用。」這</w:t>
      </w:r>
      <w:r>
        <w:t>是讀書人文學好的，也不過是讀過唐宋八大家、《古文觀止》這樣而已，雪廬老人講那還不中用。「大文章自六經來，真學問從五倫起，你們千萬不要以為了不起，否則一分學問也不能增加。」大的文章都是從六經來的，真正的學問從五倫起的，這一點我們要記住。「成住之後就是壞。你們的學問好壞另當別論，不求有功，但求無過，現今所注的書害死人，有看全部的不如看一半的，看一半的更不如看十分之一的。」現在的注書都注錯了，害人，全部看的受害是最大，還不如看一半的，被害一半；看一半不如看十分之一，只有被害十分之一，所以看這些錯誤的注解不如不看。「你們去研究，何謂大開圓解的圓解？萬萬不可妄自著書」，不可以隨便出書。「即便是以後成名</w:t>
      </w:r>
      <w:r>
        <w:lastRenderedPageBreak/>
        <w:t>了，也不可妄自改經文。李二曲沒有老師，但他的佛學比我們高，你們去查《通鑑輯覽》，陸象山就是預知時至。」</w:t>
      </w:r>
      <w:r>
        <w:t xml:space="preserve"> </w:t>
      </w:r>
    </w:p>
    <w:p w14:paraId="2A4F648D" w14:textId="77777777" w:rsidR="004C32D3" w:rsidRDefault="004C32D3">
      <w:pPr>
        <w:pStyle w:val="a3"/>
      </w:pPr>
      <w:r>
        <w:t xml:space="preserve">　　「要求開悟，要求圓解。淨土講究信字。信到極處，就是解到極處。」</w:t>
      </w:r>
      <w:r>
        <w:t xml:space="preserve"> </w:t>
      </w:r>
    </w:p>
    <w:p w14:paraId="42D1501C" w14:textId="77777777" w:rsidR="004C32D3" w:rsidRDefault="004C32D3">
      <w:pPr>
        <w:pStyle w:val="a3"/>
      </w:pPr>
      <w:r>
        <w:t xml:space="preserve">　　「有人說，《孟子》、《老子》、《莊子》都為書名，所以《論語》從前就名為《孔子》，但是找不出根據，這是蘇東坡的說法，想當然耳。」這個沒有根據，所以說《論語》從前它的名稱就叫《孔子》，雪廬老人給我們講，找不到根據，這是蘇東坡他自己的說法，沒有根據。</w:t>
      </w:r>
      <w:r>
        <w:t xml:space="preserve"> </w:t>
      </w:r>
    </w:p>
    <w:p w14:paraId="72FB28AC" w14:textId="77777777" w:rsidR="004C32D3" w:rsidRDefault="004C32D3">
      <w:pPr>
        <w:pStyle w:val="a3"/>
      </w:pPr>
      <w:r>
        <w:t xml:space="preserve">　　『曾子曰：以能問於不能，以多問於寡。』「起首二句是動詞，以自己這一方問對方，這二句是一段。以能問不能，所以孔子入太廟而每事問。再者是已經讀得多了，他所學的少，也要請問他，例如孔子學琴於師襄，問禮於老子。這是求學，老師不在年紀的大小，如果知道這個道理就知道韓愈作《師說》是有來歷，他會用，我們不會用。」</w:t>
      </w:r>
      <w:r>
        <w:t xml:space="preserve"> </w:t>
      </w:r>
    </w:p>
    <w:p w14:paraId="28543AE8" w14:textId="77777777" w:rsidR="004C32D3" w:rsidRDefault="004C32D3">
      <w:pPr>
        <w:pStyle w:val="a3"/>
      </w:pPr>
      <w:r>
        <w:t xml:space="preserve">　　『有若無，實若虛。』「其次二句是靜詞，有若無，內裡有，但外表像沒有。實若虛，內裡充實，實在起來了。有是有，一分也可以稱有，卻不一定實。這裡的實是充實，十分才稱得上實，看起來卻如虛的。」</w:t>
      </w:r>
      <w:r>
        <w:t xml:space="preserve"> </w:t>
      </w:r>
    </w:p>
    <w:p w14:paraId="4264A9D4" w14:textId="77777777" w:rsidR="004C32D3" w:rsidRDefault="004C32D3">
      <w:pPr>
        <w:pStyle w:val="a3"/>
      </w:pPr>
      <w:r>
        <w:t xml:space="preserve">　　『犯不而校。』「後句也是雙方面，起首二句從此自彼，末句從彼至此。」「人來侵犯，不與他計較，不但不與他辯論，也不報仇，例如人打我一錘，不反打一錘就是不校。校，《說文》作報也」，這個校在這裡是報復、報仇的意思。</w:t>
      </w:r>
      <w:r>
        <w:t xml:space="preserve"> </w:t>
      </w:r>
    </w:p>
    <w:p w14:paraId="2AD3F1CC" w14:textId="77777777" w:rsidR="004C32D3" w:rsidRDefault="004C32D3">
      <w:pPr>
        <w:pStyle w:val="a3"/>
      </w:pPr>
      <w:r>
        <w:t xml:space="preserve">　　「文章與說話一樣，一句比一句重要，後來的最重要。學前二句或許可以，其次一句便勉強了，到這一句就不能學了。沒事卻來冒犯，能不報復計校，不容易。」「實在說，沒有無事而冒犯的，凡事敬人者，人恆敬之；人必自侮，而後人侮之。」尊敬別人，別人必定尊敬自己；人必定自己侮辱自己，然後別人才會來侮辱。「人來冒犯也都是自找的。參考《孟子．離婁下》的自反，就可以知道了。這犯而不校一句是沒有做對不起人的事，自己反省沒有錯，人來冒犯，那他不過是人一位妄人而已。」</w:t>
      </w:r>
      <w:r>
        <w:t xml:space="preserve"> </w:t>
      </w:r>
    </w:p>
    <w:p w14:paraId="1FEFF966" w14:textId="77777777" w:rsidR="004C32D3" w:rsidRDefault="004C32D3">
      <w:pPr>
        <w:pStyle w:val="a3"/>
      </w:pPr>
      <w:r>
        <w:t xml:space="preserve">　　『昔者吾友嘗從事於斯矣。』「什麼人能辦得到？從前我的朋友曾辦得到以上所說。他的朋友是何許人，並沒有說，為什麼不說？孔子云，吾於人也誰毀誰譽。《反身錄》說，舜王不可隨便稱讚，怕讚歎錯了。另有一說，因為不可妄讚，怕夠不上讚，讚了就不行，也不能虛妄讚歎」，讚歎過頭了也不行。「後來有人說是顏子，料想除了顏淵，還會有誰做得到？」這是有人說是顏回，除了顏淵，還有誰能做得到這一點？</w:t>
      </w:r>
      <w:r>
        <w:t xml:space="preserve"> </w:t>
      </w:r>
    </w:p>
    <w:p w14:paraId="543F932C" w14:textId="77777777" w:rsidR="004C32D3" w:rsidRDefault="004C32D3">
      <w:pPr>
        <w:pStyle w:val="a3"/>
      </w:pPr>
      <w:r>
        <w:t xml:space="preserve">　　好，這章書我們就學習到這裡。祝大家福慧增長，法喜充滿。阿彌陀佛！　　</w:t>
      </w:r>
    </w:p>
    <w:sectPr w:rsidR="004C32D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15746B" w14:textId="77777777" w:rsidR="004C32D3" w:rsidRDefault="004C32D3" w:rsidP="005761DC">
      <w:r>
        <w:separator/>
      </w:r>
    </w:p>
  </w:endnote>
  <w:endnote w:type="continuationSeparator" w:id="0">
    <w:p w14:paraId="147AB3A1" w14:textId="77777777" w:rsidR="004C32D3" w:rsidRDefault="004C32D3" w:rsidP="005761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BB524E" w14:textId="77777777" w:rsidR="004C32D3" w:rsidRDefault="004C32D3" w:rsidP="005761DC">
      <w:r>
        <w:separator/>
      </w:r>
    </w:p>
  </w:footnote>
  <w:footnote w:type="continuationSeparator" w:id="0">
    <w:p w14:paraId="72C029EE" w14:textId="77777777" w:rsidR="004C32D3" w:rsidRDefault="004C32D3" w:rsidP="005761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1DC"/>
    <w:rsid w:val="004C32D3"/>
    <w:rsid w:val="005761DC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BF8AB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761D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761D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761D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761D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350</Words>
  <Characters>2000</Characters>
  <Application>Microsoft Office Word</Application>
  <DocSecurity>0</DocSecurity>
  <Lines>16</Lines>
  <Paragraphs>4</Paragraphs>
  <ScaleCrop>false</ScaleCrop>
  <Company/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2026-08-13T00:18:00Z</dcterms:created>
  <dcterms:modified xsi:type="dcterms:W3CDTF">2026-08-13T00:18:00Z</dcterms:modified>
</cp:coreProperties>
</file>